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5973F">
      <w:pPr>
        <w:pStyle w:val="3"/>
        <w:spacing w:before="0" w:after="0"/>
        <w:rPr>
          <w:b/>
          <w:bCs/>
          <w:lang w:eastAsia="zh-CN"/>
        </w:rPr>
      </w:pPr>
      <w:bookmarkStart w:id="0" w:name="勐佑镇户籍管理领域基层政务公开标准目录"/>
      <w:r>
        <w:rPr>
          <w:rFonts w:hint="eastAsia"/>
          <w:b/>
          <w:bCs/>
          <w:lang w:eastAsia="zh-CN"/>
        </w:rPr>
        <w:t>附件</w:t>
      </w:r>
      <w:bookmarkStart w:id="1" w:name="_GoBack"/>
      <w:bookmarkEnd w:id="1"/>
    </w:p>
    <w:p w14:paraId="44F80103">
      <w:pPr>
        <w:pStyle w:val="2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勐佑镇涉农补贴领域基层政务公开标准目录</w:t>
      </w:r>
    </w:p>
    <w:tbl>
      <w:tblPr>
        <w:tblStyle w:val="28"/>
        <w:tblW w:w="14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601"/>
        <w:gridCol w:w="764"/>
        <w:gridCol w:w="2494"/>
        <w:gridCol w:w="2205"/>
        <w:gridCol w:w="1117"/>
        <w:gridCol w:w="1301"/>
        <w:gridCol w:w="3062"/>
        <w:gridCol w:w="608"/>
        <w:gridCol w:w="431"/>
        <w:gridCol w:w="561"/>
        <w:gridCol w:w="406"/>
        <w:gridCol w:w="578"/>
        <w:gridCol w:w="397"/>
      </w:tblGrid>
      <w:tr w14:paraId="0F651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dxa"/>
            <w:vMerge w:val="restart"/>
            <w:tcBorders>
              <w:bottom w:val="single" w:color="auto" w:sz="0" w:space="0"/>
              <w:insideH w:val="single" w:sz="0" w:space="0"/>
            </w:tcBorders>
            <w:vAlign w:val="center"/>
          </w:tcPr>
          <w:p w14:paraId="794BA19C">
            <w:pPr>
              <w:pStyle w:val="24"/>
              <w:spacing w:before="0" w:after="0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序号</w:t>
            </w:r>
          </w:p>
        </w:tc>
        <w:tc>
          <w:tcPr>
            <w:tcW w:w="1365" w:type="dxa"/>
            <w:gridSpan w:val="2"/>
            <w:tcBorders>
              <w:bottom w:val="single" w:color="auto" w:sz="0" w:space="0"/>
              <w:insideH w:val="single" w:sz="0" w:space="0"/>
            </w:tcBorders>
            <w:vAlign w:val="center"/>
          </w:tcPr>
          <w:p w14:paraId="6583CF7C">
            <w:pPr>
              <w:pStyle w:val="24"/>
              <w:spacing w:before="0" w:after="0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公开事项</w:t>
            </w:r>
          </w:p>
        </w:tc>
        <w:tc>
          <w:tcPr>
            <w:tcW w:w="2494" w:type="dxa"/>
            <w:vMerge w:val="restart"/>
            <w:tcBorders>
              <w:bottom w:val="single" w:color="auto" w:sz="0" w:space="0"/>
              <w:insideH w:val="single" w:sz="0" w:space="0"/>
            </w:tcBorders>
            <w:vAlign w:val="center"/>
          </w:tcPr>
          <w:p w14:paraId="0CBBC4F5">
            <w:pPr>
              <w:pStyle w:val="24"/>
              <w:spacing w:before="0" w:after="0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公开内容(要素)</w:t>
            </w:r>
          </w:p>
        </w:tc>
        <w:tc>
          <w:tcPr>
            <w:tcW w:w="2205" w:type="dxa"/>
            <w:vMerge w:val="restart"/>
            <w:tcBorders>
              <w:bottom w:val="single" w:color="auto" w:sz="0" w:space="0"/>
              <w:insideH w:val="single" w:sz="0" w:space="0"/>
            </w:tcBorders>
            <w:vAlign w:val="center"/>
          </w:tcPr>
          <w:p w14:paraId="1A7F969D">
            <w:pPr>
              <w:pStyle w:val="24"/>
              <w:spacing w:before="0" w:after="0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公开依据</w:t>
            </w:r>
          </w:p>
        </w:tc>
        <w:tc>
          <w:tcPr>
            <w:tcW w:w="1117" w:type="dxa"/>
            <w:vMerge w:val="restart"/>
            <w:tcBorders>
              <w:bottom w:val="single" w:color="auto" w:sz="0" w:space="0"/>
              <w:insideH w:val="single" w:sz="0" w:space="0"/>
            </w:tcBorders>
            <w:vAlign w:val="center"/>
          </w:tcPr>
          <w:p w14:paraId="2BC1D3F0">
            <w:pPr>
              <w:pStyle w:val="24"/>
              <w:spacing w:before="0" w:after="0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公开时限</w:t>
            </w:r>
          </w:p>
        </w:tc>
        <w:tc>
          <w:tcPr>
            <w:tcW w:w="1301" w:type="dxa"/>
            <w:vMerge w:val="restart"/>
            <w:tcBorders>
              <w:bottom w:val="single" w:color="auto" w:sz="0" w:space="0"/>
              <w:insideH w:val="single" w:sz="0" w:space="0"/>
            </w:tcBorders>
            <w:vAlign w:val="center"/>
          </w:tcPr>
          <w:p w14:paraId="45EC5BEE">
            <w:pPr>
              <w:pStyle w:val="24"/>
              <w:spacing w:before="0" w:after="0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公开主体</w:t>
            </w:r>
          </w:p>
        </w:tc>
        <w:tc>
          <w:tcPr>
            <w:tcW w:w="3062" w:type="dxa"/>
            <w:vMerge w:val="restart"/>
            <w:tcBorders>
              <w:bottom w:val="single" w:color="auto" w:sz="0" w:space="0"/>
              <w:insideH w:val="single" w:sz="0" w:space="0"/>
            </w:tcBorders>
            <w:vAlign w:val="center"/>
          </w:tcPr>
          <w:p w14:paraId="178F86B7">
            <w:pPr>
              <w:pStyle w:val="24"/>
              <w:spacing w:before="0" w:after="0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公开渠道和载体</w:t>
            </w:r>
          </w:p>
        </w:tc>
        <w:tc>
          <w:tcPr>
            <w:tcW w:w="1039" w:type="dxa"/>
            <w:gridSpan w:val="2"/>
            <w:tcBorders>
              <w:bottom w:val="single" w:color="auto" w:sz="0" w:space="0"/>
              <w:insideH w:val="single" w:sz="0" w:space="0"/>
            </w:tcBorders>
            <w:vAlign w:val="center"/>
          </w:tcPr>
          <w:p w14:paraId="782FD85E">
            <w:pPr>
              <w:pStyle w:val="24"/>
              <w:spacing w:before="0" w:after="0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公开对象</w:t>
            </w:r>
          </w:p>
        </w:tc>
        <w:tc>
          <w:tcPr>
            <w:tcW w:w="967" w:type="dxa"/>
            <w:gridSpan w:val="2"/>
            <w:tcBorders>
              <w:bottom w:val="single" w:color="auto" w:sz="0" w:space="0"/>
              <w:insideH w:val="single" w:sz="0" w:space="0"/>
            </w:tcBorders>
            <w:vAlign w:val="center"/>
          </w:tcPr>
          <w:p w14:paraId="5E8C8FB3">
            <w:pPr>
              <w:pStyle w:val="24"/>
              <w:spacing w:before="0" w:after="0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公开方式</w:t>
            </w:r>
          </w:p>
        </w:tc>
        <w:tc>
          <w:tcPr>
            <w:tcW w:w="975" w:type="dxa"/>
            <w:gridSpan w:val="2"/>
            <w:tcBorders>
              <w:bottom w:val="single" w:color="auto" w:sz="0" w:space="0"/>
              <w:insideH w:val="single" w:sz="0" w:space="0"/>
            </w:tcBorders>
            <w:vAlign w:val="center"/>
          </w:tcPr>
          <w:p w14:paraId="5171A21D">
            <w:pPr>
              <w:pStyle w:val="24"/>
              <w:spacing w:before="0" w:after="0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公开层级</w:t>
            </w:r>
          </w:p>
        </w:tc>
      </w:tr>
      <w:tr w14:paraId="4BFB0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dxa"/>
            <w:vMerge w:val="continue"/>
            <w:vAlign w:val="center"/>
          </w:tcPr>
          <w:p w14:paraId="33F460E6">
            <w:pPr>
              <w:spacing w:after="0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14:paraId="41363105">
            <w:pPr>
              <w:pStyle w:val="24"/>
              <w:spacing w:before="0" w:after="0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一级事项</w:t>
            </w:r>
          </w:p>
        </w:tc>
        <w:tc>
          <w:tcPr>
            <w:tcW w:w="764" w:type="dxa"/>
            <w:vAlign w:val="center"/>
          </w:tcPr>
          <w:p w14:paraId="57036202">
            <w:pPr>
              <w:pStyle w:val="24"/>
              <w:spacing w:before="0" w:after="0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二级事项</w:t>
            </w:r>
          </w:p>
        </w:tc>
        <w:tc>
          <w:tcPr>
            <w:tcW w:w="2494" w:type="dxa"/>
            <w:vMerge w:val="continue"/>
            <w:vAlign w:val="center"/>
          </w:tcPr>
          <w:p w14:paraId="37D3D4B9">
            <w:pPr>
              <w:spacing w:after="0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</w:p>
        </w:tc>
        <w:tc>
          <w:tcPr>
            <w:tcW w:w="2205" w:type="dxa"/>
            <w:vMerge w:val="continue"/>
            <w:vAlign w:val="center"/>
          </w:tcPr>
          <w:p w14:paraId="5494898F">
            <w:pPr>
              <w:spacing w:after="0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</w:p>
        </w:tc>
        <w:tc>
          <w:tcPr>
            <w:tcW w:w="1117" w:type="dxa"/>
            <w:vMerge w:val="continue"/>
            <w:vAlign w:val="center"/>
          </w:tcPr>
          <w:p w14:paraId="616E104F">
            <w:pPr>
              <w:spacing w:after="0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</w:p>
        </w:tc>
        <w:tc>
          <w:tcPr>
            <w:tcW w:w="1301" w:type="dxa"/>
            <w:vMerge w:val="continue"/>
            <w:vAlign w:val="center"/>
          </w:tcPr>
          <w:p w14:paraId="56748CFA">
            <w:pPr>
              <w:spacing w:after="0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</w:p>
        </w:tc>
        <w:tc>
          <w:tcPr>
            <w:tcW w:w="3062" w:type="dxa"/>
            <w:vMerge w:val="continue"/>
            <w:vAlign w:val="center"/>
          </w:tcPr>
          <w:p w14:paraId="50512A56">
            <w:pPr>
              <w:spacing w:after="0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</w:p>
        </w:tc>
        <w:tc>
          <w:tcPr>
            <w:tcW w:w="608" w:type="dxa"/>
            <w:vAlign w:val="center"/>
          </w:tcPr>
          <w:p w14:paraId="54D20513">
            <w:pPr>
              <w:pStyle w:val="24"/>
              <w:spacing w:before="0" w:after="0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全社会</w:t>
            </w:r>
          </w:p>
        </w:tc>
        <w:tc>
          <w:tcPr>
            <w:tcW w:w="431" w:type="dxa"/>
            <w:vAlign w:val="center"/>
          </w:tcPr>
          <w:p w14:paraId="18198FF5">
            <w:pPr>
              <w:pStyle w:val="24"/>
              <w:spacing w:before="0" w:after="0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特定群体</w:t>
            </w:r>
          </w:p>
        </w:tc>
        <w:tc>
          <w:tcPr>
            <w:tcW w:w="561" w:type="dxa"/>
            <w:vAlign w:val="center"/>
          </w:tcPr>
          <w:p w14:paraId="27B46C9E">
            <w:pPr>
              <w:pStyle w:val="24"/>
              <w:spacing w:before="0" w:after="0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主动</w:t>
            </w:r>
          </w:p>
        </w:tc>
        <w:tc>
          <w:tcPr>
            <w:tcW w:w="406" w:type="dxa"/>
            <w:vAlign w:val="center"/>
          </w:tcPr>
          <w:p w14:paraId="4FB7AF3B">
            <w:pPr>
              <w:pStyle w:val="24"/>
              <w:spacing w:before="0" w:after="0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依申请</w:t>
            </w:r>
          </w:p>
        </w:tc>
        <w:tc>
          <w:tcPr>
            <w:tcW w:w="578" w:type="dxa"/>
            <w:vAlign w:val="center"/>
          </w:tcPr>
          <w:p w14:paraId="54CA4F5C">
            <w:pPr>
              <w:pStyle w:val="24"/>
              <w:spacing w:before="0" w:after="0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县级</w:t>
            </w:r>
          </w:p>
        </w:tc>
        <w:tc>
          <w:tcPr>
            <w:tcW w:w="397" w:type="dxa"/>
            <w:vAlign w:val="center"/>
          </w:tcPr>
          <w:p w14:paraId="70536FF5">
            <w:pPr>
              <w:pStyle w:val="24"/>
              <w:spacing w:before="0" w:after="0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乡级</w:t>
            </w:r>
          </w:p>
        </w:tc>
      </w:tr>
      <w:tr w14:paraId="531E2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dxa"/>
            <w:vAlign w:val="center"/>
          </w:tcPr>
          <w:p w14:paraId="79479F0C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1</w:t>
            </w:r>
          </w:p>
        </w:tc>
        <w:tc>
          <w:tcPr>
            <w:tcW w:w="601" w:type="dxa"/>
            <w:vMerge w:val="restart"/>
            <w:vAlign w:val="center"/>
          </w:tcPr>
          <w:p w14:paraId="4BAD9854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1.农业生产发展资金</w:t>
            </w:r>
          </w:p>
        </w:tc>
        <w:tc>
          <w:tcPr>
            <w:tcW w:w="764" w:type="dxa"/>
            <w:vAlign w:val="center"/>
          </w:tcPr>
          <w:p w14:paraId="5DB9A9DA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1.1农机购置补贴</w:t>
            </w:r>
          </w:p>
        </w:tc>
        <w:tc>
          <w:tcPr>
            <w:tcW w:w="2494" w:type="dxa"/>
            <w:vAlign w:val="center"/>
          </w:tcPr>
          <w:p w14:paraId="36B5FA25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●</w:t>
            </w:r>
          </w:p>
          <w:p w14:paraId="7E4A3122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政策依据;</w:t>
            </w:r>
          </w:p>
          <w:p w14:paraId="7F4BE16E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●申请指南:包括补贴对象、补贴范围、补贴标准、申请程序、申请材料、咨询电话、受理单位、办理时限、联系方式等;</w:t>
            </w:r>
          </w:p>
          <w:p w14:paraId="1D143160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●补贴结果;</w:t>
            </w:r>
          </w:p>
          <w:p w14:paraId="2AB6DF75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●监督渠道:包括举报电话、地址等。</w:t>
            </w:r>
          </w:p>
        </w:tc>
        <w:tc>
          <w:tcPr>
            <w:tcW w:w="2205" w:type="dxa"/>
            <w:vAlign w:val="center"/>
          </w:tcPr>
          <w:p w14:paraId="44A74C18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《中华人民共和国农业机械化促进法》(中华人民共和国主席令第十六号)、《农业生产发展资金管理办法》(财农(2017)41号)、《2018-2020年农机购置补贴实施指导意见》(农办财(2018)13号)、《云南省农机购置补贴实施方案》。</w:t>
            </w:r>
          </w:p>
        </w:tc>
        <w:tc>
          <w:tcPr>
            <w:tcW w:w="1117" w:type="dxa"/>
            <w:vAlign w:val="center"/>
          </w:tcPr>
          <w:p w14:paraId="611EFE39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信息形成或者变更之日起20个工作日內</w:t>
            </w:r>
          </w:p>
        </w:tc>
        <w:tc>
          <w:tcPr>
            <w:tcW w:w="1301" w:type="dxa"/>
            <w:vAlign w:val="center"/>
          </w:tcPr>
          <w:p w14:paraId="7D0BB1D0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勐佑镇人民政府</w:t>
            </w:r>
          </w:p>
        </w:tc>
        <w:tc>
          <w:tcPr>
            <w:tcW w:w="3062" w:type="dxa"/>
            <w:vAlign w:val="center"/>
          </w:tcPr>
          <w:p w14:paraId="44B161FD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■政府网站</w:t>
            </w: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ab/>
            </w: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口政府公报</w:t>
            </w:r>
          </w:p>
          <w:p w14:paraId="6408F043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口两微一端</w:t>
            </w: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ab/>
            </w: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口发布会/听证会</w:t>
            </w:r>
          </w:p>
          <w:p w14:paraId="45F633E0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口广播电视</w:t>
            </w: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ab/>
            </w: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口纸质媒体</w:t>
            </w:r>
          </w:p>
          <w:p w14:paraId="1130E3AE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口公开查阅点</w:t>
            </w: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ab/>
            </w: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口政务服务中心</w:t>
            </w:r>
          </w:p>
          <w:p w14:paraId="1B9B52BE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口便民服务站</w:t>
            </w: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ab/>
            </w: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口入户/现场</w:t>
            </w:r>
          </w:p>
          <w:p w14:paraId="30C21645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■社区/企事业单位/村公示栏(电子屏)</w:t>
            </w:r>
          </w:p>
          <w:p w14:paraId="20DD2757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口精准推送</w:t>
            </w: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ab/>
            </w: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口其他_______</w:t>
            </w:r>
          </w:p>
        </w:tc>
        <w:tc>
          <w:tcPr>
            <w:tcW w:w="608" w:type="dxa"/>
            <w:vAlign w:val="center"/>
          </w:tcPr>
          <w:p w14:paraId="5F3AF903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√</w:t>
            </w:r>
          </w:p>
        </w:tc>
        <w:tc>
          <w:tcPr>
            <w:tcW w:w="431" w:type="dxa"/>
            <w:vAlign w:val="center"/>
          </w:tcPr>
          <w:p w14:paraId="746FE212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</w:rPr>
            </w:pPr>
          </w:p>
        </w:tc>
        <w:tc>
          <w:tcPr>
            <w:tcW w:w="561" w:type="dxa"/>
            <w:vAlign w:val="center"/>
          </w:tcPr>
          <w:p w14:paraId="0340C1A8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√</w:t>
            </w:r>
          </w:p>
        </w:tc>
        <w:tc>
          <w:tcPr>
            <w:tcW w:w="406" w:type="dxa"/>
            <w:vAlign w:val="center"/>
          </w:tcPr>
          <w:p w14:paraId="6651F9E9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</w:rPr>
            </w:pPr>
          </w:p>
        </w:tc>
        <w:tc>
          <w:tcPr>
            <w:tcW w:w="578" w:type="dxa"/>
            <w:vAlign w:val="center"/>
          </w:tcPr>
          <w:p w14:paraId="71ED3C1B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</w:rPr>
            </w:pPr>
          </w:p>
        </w:tc>
        <w:tc>
          <w:tcPr>
            <w:tcW w:w="397" w:type="dxa"/>
            <w:vAlign w:val="center"/>
          </w:tcPr>
          <w:p w14:paraId="3527CE32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√</w:t>
            </w:r>
          </w:p>
        </w:tc>
      </w:tr>
      <w:tr w14:paraId="51DAB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dxa"/>
            <w:vAlign w:val="center"/>
          </w:tcPr>
          <w:p w14:paraId="47CC2E8D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2</w:t>
            </w:r>
          </w:p>
        </w:tc>
        <w:tc>
          <w:tcPr>
            <w:tcW w:w="601" w:type="dxa"/>
            <w:vMerge w:val="continue"/>
            <w:vAlign w:val="center"/>
          </w:tcPr>
          <w:p w14:paraId="7F22C118">
            <w:pPr>
              <w:spacing w:after="0"/>
              <w:jc w:val="both"/>
              <w:rPr>
                <w:rFonts w:ascii="Times New Roman" w:hAnsi="Times New Roman" w:eastAsia="宋体" w:cs="宋体"/>
                <w:sz w:val="15"/>
                <w:szCs w:val="15"/>
              </w:rPr>
            </w:pPr>
          </w:p>
        </w:tc>
        <w:tc>
          <w:tcPr>
            <w:tcW w:w="764" w:type="dxa"/>
            <w:vAlign w:val="center"/>
          </w:tcPr>
          <w:p w14:paraId="7356A8CE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1.2耕地地力保护</w:t>
            </w:r>
          </w:p>
        </w:tc>
        <w:tc>
          <w:tcPr>
            <w:tcW w:w="2494" w:type="dxa"/>
            <w:vAlign w:val="center"/>
          </w:tcPr>
          <w:p w14:paraId="5E96E709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●政策依据；</w:t>
            </w:r>
          </w:p>
          <w:p w14:paraId="5E2A3C61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●申请指南:包括补贴对象、补贴范围、补贴标准、咨询电话、受理单位、办理时限、联系方式等;</w:t>
            </w:r>
          </w:p>
          <w:p w14:paraId="155B3599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●补贴结果:</w:t>
            </w:r>
          </w:p>
          <w:p w14:paraId="6723F8AF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●监督渠道:包括举报电话、地址等。</w:t>
            </w:r>
          </w:p>
        </w:tc>
        <w:tc>
          <w:tcPr>
            <w:tcW w:w="2205" w:type="dxa"/>
            <w:vAlign w:val="center"/>
          </w:tcPr>
          <w:p w14:paraId="6A084410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《农业生产发展资金管理办法》(财农(2017)41号)、《财政部农业部关于全面推开农业“三项补贴”改革工作的通知》(财农(2016)26号)、《云南省耕地地力保护实施方案》</w:t>
            </w:r>
          </w:p>
        </w:tc>
        <w:tc>
          <w:tcPr>
            <w:tcW w:w="1117" w:type="dxa"/>
            <w:vAlign w:val="center"/>
          </w:tcPr>
          <w:p w14:paraId="5A2808A1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信息形成或者变更之日起20个工作日内</w:t>
            </w:r>
          </w:p>
        </w:tc>
        <w:tc>
          <w:tcPr>
            <w:tcW w:w="1301" w:type="dxa"/>
            <w:vAlign w:val="center"/>
          </w:tcPr>
          <w:p w14:paraId="4CDFFB21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勐佑镇人民政府</w:t>
            </w:r>
          </w:p>
        </w:tc>
        <w:tc>
          <w:tcPr>
            <w:tcW w:w="3062" w:type="dxa"/>
            <w:vAlign w:val="center"/>
          </w:tcPr>
          <w:p w14:paraId="47B1F761">
            <w:pPr>
              <w:pStyle w:val="24"/>
              <w:spacing w:before="0" w:after="0"/>
              <w:jc w:val="both"/>
              <w:rPr>
                <w:rFonts w:ascii="Cambria Math" w:hAnsi="Cambria Math" w:eastAsia="宋体" w:cs="宋体"/>
                <w:sz w:val="15"/>
                <w:szCs w:val="15"/>
                <w:oMath/>
              </w:rPr>
            </w:pPr>
            <m:oMath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15"/>
                  <w:szCs w:val="15"/>
                </w:rPr>
                <m:t>■政府网站</m:t>
              </m:r>
            </m:oMath>
            <w:r>
              <w:rPr>
                <w:rFonts w:hint="eastAsia" w:ascii="Cambria Math" w:hAnsi="Cambria Math" w:eastAsia="宋体" w:cs="宋体"/>
                <w:sz w:val="15"/>
                <w:szCs w:val="15"/>
              </w:rPr>
              <w:tab/>
            </w:r>
            <m:oMath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15"/>
                  <w:szCs w:val="15"/>
                </w:rPr>
                <m:t>口政府公报</m:t>
              </m:r>
            </m:oMath>
          </w:p>
          <w:p w14:paraId="116C2EA4">
            <w:pPr>
              <w:pStyle w:val="24"/>
              <w:spacing w:before="0" w:after="0"/>
              <w:jc w:val="both"/>
              <w:rPr>
                <w:rFonts w:ascii="Cambria Math" w:hAnsi="Cambria Math" w:eastAsia="宋体" w:cs="宋体"/>
                <w:sz w:val="15"/>
                <w:szCs w:val="15"/>
                <w:oMath/>
              </w:rPr>
            </w:pPr>
            <m:oMath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15"/>
                  <w:szCs w:val="15"/>
                </w:rPr>
                <m:t>口两微一端</m:t>
              </m:r>
            </m:oMath>
            <w:r>
              <w:rPr>
                <w:rFonts w:hint="eastAsia" w:ascii="Cambria Math" w:hAnsi="Cambria Math" w:eastAsia="宋体" w:cs="宋体"/>
                <w:sz w:val="15"/>
                <w:szCs w:val="15"/>
              </w:rPr>
              <w:tab/>
            </w:r>
            <m:oMath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15"/>
                  <w:szCs w:val="15"/>
                </w:rPr>
                <m:t>口发布会/听证会</m:t>
              </m:r>
            </m:oMath>
          </w:p>
          <w:p w14:paraId="7E45FA5A">
            <w:pPr>
              <w:pStyle w:val="24"/>
              <w:spacing w:before="0" w:after="0"/>
              <w:jc w:val="both"/>
              <w:rPr>
                <w:rFonts w:ascii="Cambria Math" w:hAnsi="Cambria Math" w:eastAsia="宋体" w:cs="宋体"/>
                <w:sz w:val="15"/>
                <w:szCs w:val="15"/>
                <w:oMath/>
              </w:rPr>
            </w:pPr>
            <m:oMath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15"/>
                  <w:szCs w:val="15"/>
                </w:rPr>
                <m:t>口广播电视</m:t>
              </m:r>
            </m:oMath>
            <w:r>
              <w:rPr>
                <w:rFonts w:hint="eastAsia" w:ascii="Cambria Math" w:hAnsi="Cambria Math" w:eastAsia="宋体" w:cs="宋体"/>
                <w:sz w:val="15"/>
                <w:szCs w:val="15"/>
              </w:rPr>
              <w:tab/>
            </w:r>
            <m:oMath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15"/>
                  <w:szCs w:val="15"/>
                </w:rPr>
                <m:t>口纸质媒体</m:t>
              </m:r>
            </m:oMath>
          </w:p>
          <w:p w14:paraId="5DA25869">
            <w:pPr>
              <w:pStyle w:val="24"/>
              <w:spacing w:before="0" w:after="0"/>
              <w:jc w:val="both"/>
              <w:rPr>
                <w:rFonts w:ascii="Cambria Math" w:hAnsi="Cambria Math" w:eastAsia="宋体" w:cs="宋体"/>
                <w:sz w:val="15"/>
                <w:szCs w:val="15"/>
                <w:oMath/>
              </w:rPr>
            </w:pPr>
            <m:oMath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15"/>
                  <w:szCs w:val="15"/>
                </w:rPr>
                <m:t>口公开查阅点</m:t>
              </m:r>
            </m:oMath>
            <w:r>
              <w:rPr>
                <w:rFonts w:hint="eastAsia" w:ascii="Cambria Math" w:hAnsi="Cambria Math" w:eastAsia="宋体" w:cs="宋体"/>
                <w:sz w:val="15"/>
                <w:szCs w:val="15"/>
              </w:rPr>
              <w:tab/>
            </w:r>
            <m:oMath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15"/>
                  <w:szCs w:val="15"/>
                </w:rPr>
                <m:t>口政务服务中心</m:t>
              </m:r>
            </m:oMath>
          </w:p>
          <w:p w14:paraId="3826AEF4">
            <w:pPr>
              <w:pStyle w:val="24"/>
              <w:spacing w:before="0" w:after="0"/>
              <w:jc w:val="both"/>
              <w:rPr>
                <w:rFonts w:ascii="Cambria Math" w:hAnsi="Cambria Math" w:eastAsia="宋体" w:cs="宋体"/>
                <w:sz w:val="15"/>
                <w:szCs w:val="15"/>
                <w:oMath/>
              </w:rPr>
            </w:pPr>
            <m:oMath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15"/>
                  <w:szCs w:val="15"/>
                </w:rPr>
                <m:t>口便民服务站</m:t>
              </m:r>
            </m:oMath>
            <w:r>
              <w:rPr>
                <w:rFonts w:hint="eastAsia" w:ascii="Cambria Math" w:hAnsi="Cambria Math" w:eastAsia="宋体" w:cs="宋体"/>
                <w:sz w:val="15"/>
                <w:szCs w:val="15"/>
              </w:rPr>
              <w:tab/>
            </w:r>
            <m:oMath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15"/>
                  <w:szCs w:val="15"/>
                </w:rPr>
                <m:t>口入户/现场</m:t>
              </m:r>
            </m:oMath>
          </w:p>
          <w:p w14:paraId="3F129551">
            <w:pPr>
              <w:pStyle w:val="24"/>
              <w:spacing w:before="0" w:after="0"/>
              <w:jc w:val="both"/>
              <w:rPr>
                <w:rFonts w:ascii="Cambria Math" w:hAnsi="Cambria Math" w:eastAsia="宋体" w:cs="宋体"/>
                <w:sz w:val="15"/>
                <w:szCs w:val="15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15"/>
                    <w:szCs w:val="15"/>
                  </w:rPr>
                  <m:t>■社区/企事业单位/村公示栏(电子屏)</m:t>
                </m:r>
              </m:oMath>
            </m:oMathPara>
          </w:p>
          <w:p w14:paraId="46F713A0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</w:rPr>
            </w:pPr>
            <m:oMath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15"/>
                  <w:szCs w:val="15"/>
                </w:rPr>
                <m:t>口精准推送</m:t>
              </m:r>
            </m:oMath>
            <w:r>
              <w:rPr>
                <w:rFonts w:hint="eastAsia" w:ascii="Cambria Math" w:hAnsi="Cambria Math" w:eastAsia="宋体" w:cs="宋体"/>
                <w:sz w:val="15"/>
                <w:szCs w:val="15"/>
              </w:rPr>
              <w:tab/>
            </w:r>
            <m:oMath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15"/>
                  <w:szCs w:val="15"/>
                </w:rPr>
                <m:t>口其他_______</m:t>
              </m:r>
            </m:oMath>
          </w:p>
        </w:tc>
        <w:tc>
          <w:tcPr>
            <w:tcW w:w="608" w:type="dxa"/>
            <w:vAlign w:val="center"/>
          </w:tcPr>
          <w:p w14:paraId="0FB8BABE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√</w:t>
            </w:r>
          </w:p>
        </w:tc>
        <w:tc>
          <w:tcPr>
            <w:tcW w:w="431" w:type="dxa"/>
            <w:vAlign w:val="center"/>
          </w:tcPr>
          <w:p w14:paraId="3CE0C7CA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</w:rPr>
            </w:pPr>
          </w:p>
        </w:tc>
        <w:tc>
          <w:tcPr>
            <w:tcW w:w="561" w:type="dxa"/>
            <w:vAlign w:val="center"/>
          </w:tcPr>
          <w:p w14:paraId="165D7623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√</w:t>
            </w:r>
          </w:p>
        </w:tc>
        <w:tc>
          <w:tcPr>
            <w:tcW w:w="406" w:type="dxa"/>
            <w:vAlign w:val="center"/>
          </w:tcPr>
          <w:p w14:paraId="1A89E9D2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</w:rPr>
            </w:pPr>
          </w:p>
        </w:tc>
        <w:tc>
          <w:tcPr>
            <w:tcW w:w="578" w:type="dxa"/>
            <w:vAlign w:val="center"/>
          </w:tcPr>
          <w:p w14:paraId="37DBCD3E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</w:rPr>
            </w:pPr>
          </w:p>
        </w:tc>
        <w:tc>
          <w:tcPr>
            <w:tcW w:w="397" w:type="dxa"/>
            <w:vAlign w:val="center"/>
          </w:tcPr>
          <w:p w14:paraId="065DA6F5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√</w:t>
            </w:r>
          </w:p>
        </w:tc>
      </w:tr>
      <w:tr w14:paraId="6421B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dxa"/>
            <w:vAlign w:val="center"/>
          </w:tcPr>
          <w:p w14:paraId="4F1AB5E6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3</w:t>
            </w:r>
          </w:p>
        </w:tc>
        <w:tc>
          <w:tcPr>
            <w:tcW w:w="601" w:type="dxa"/>
            <w:vMerge w:val="continue"/>
            <w:vAlign w:val="center"/>
          </w:tcPr>
          <w:p w14:paraId="4EC1105F">
            <w:pPr>
              <w:spacing w:after="0"/>
              <w:jc w:val="both"/>
              <w:rPr>
                <w:rFonts w:ascii="Times New Roman" w:hAnsi="Times New Roman" w:eastAsia="宋体" w:cs="宋体"/>
                <w:sz w:val="15"/>
                <w:szCs w:val="15"/>
              </w:rPr>
            </w:pPr>
          </w:p>
        </w:tc>
        <w:tc>
          <w:tcPr>
            <w:tcW w:w="764" w:type="dxa"/>
            <w:vAlign w:val="center"/>
          </w:tcPr>
          <w:p w14:paraId="5F9DE1DA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1.3支持新型农业经营主体</w:t>
            </w:r>
          </w:p>
        </w:tc>
        <w:tc>
          <w:tcPr>
            <w:tcW w:w="2494" w:type="dxa"/>
            <w:vAlign w:val="center"/>
          </w:tcPr>
          <w:p w14:paraId="46EE6420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●政策依据；</w:t>
            </w:r>
          </w:p>
          <w:p w14:paraId="42840A19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●申请指南:包括补贴对象、补贴范围、补贴标准、申请程序、申请材料、咨询电话、受理单位、办理时限、联系方式等;</w:t>
            </w:r>
          </w:p>
          <w:p w14:paraId="5E843F31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●补贴结果</w:t>
            </w:r>
          </w:p>
          <w:p w14:paraId="12791A0A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●监督渠道:包括举报电话、地址等。</w:t>
            </w:r>
          </w:p>
        </w:tc>
        <w:tc>
          <w:tcPr>
            <w:tcW w:w="2205" w:type="dxa"/>
            <w:vAlign w:val="center"/>
          </w:tcPr>
          <w:p w14:paraId="4AE89FF0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《农业生产发展资金管理办法》(财农(2017)41号)、《云南省支持新型农业经营主体实施方案》</w:t>
            </w:r>
          </w:p>
        </w:tc>
        <w:tc>
          <w:tcPr>
            <w:tcW w:w="1117" w:type="dxa"/>
            <w:vAlign w:val="center"/>
          </w:tcPr>
          <w:p w14:paraId="594C9DC4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信息形成或者变更之日起20个工作日内</w:t>
            </w:r>
          </w:p>
        </w:tc>
        <w:tc>
          <w:tcPr>
            <w:tcW w:w="1301" w:type="dxa"/>
            <w:vAlign w:val="center"/>
          </w:tcPr>
          <w:p w14:paraId="6B4D5166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勐佑镇人民政府</w:t>
            </w:r>
          </w:p>
        </w:tc>
        <w:tc>
          <w:tcPr>
            <w:tcW w:w="3062" w:type="dxa"/>
            <w:vAlign w:val="center"/>
          </w:tcPr>
          <w:p w14:paraId="1038B729">
            <w:pPr>
              <w:pStyle w:val="24"/>
              <w:spacing w:before="0" w:after="0"/>
              <w:jc w:val="both"/>
              <w:rPr>
                <w:rFonts w:ascii="Cambria Math" w:hAnsi="Cambria Math" w:eastAsia="宋体" w:cs="宋体"/>
                <w:sz w:val="15"/>
                <w:szCs w:val="15"/>
                <w:oMath/>
              </w:rPr>
            </w:pPr>
            <m:oMath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15"/>
                  <w:szCs w:val="15"/>
                </w:rPr>
                <m:t>■政府网站</m:t>
              </m:r>
            </m:oMath>
            <w:r>
              <w:rPr>
                <w:rFonts w:hint="eastAsia" w:ascii="Cambria Math" w:hAnsi="Cambria Math" w:eastAsia="宋体" w:cs="宋体"/>
                <w:sz w:val="15"/>
                <w:szCs w:val="15"/>
              </w:rPr>
              <w:tab/>
            </w:r>
            <m:oMath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15"/>
                  <w:szCs w:val="15"/>
                </w:rPr>
                <m:t>口政府公报</m:t>
              </m:r>
            </m:oMath>
          </w:p>
          <w:p w14:paraId="6AD7522B">
            <w:pPr>
              <w:pStyle w:val="24"/>
              <w:spacing w:before="0" w:after="0"/>
              <w:jc w:val="both"/>
              <w:rPr>
                <w:rFonts w:ascii="Cambria Math" w:hAnsi="Cambria Math" w:eastAsia="宋体" w:cs="宋体"/>
                <w:sz w:val="15"/>
                <w:szCs w:val="15"/>
                <w:oMath/>
              </w:rPr>
            </w:pPr>
            <m:oMath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15"/>
                  <w:szCs w:val="15"/>
                </w:rPr>
                <m:t>口两微一端</m:t>
              </m:r>
            </m:oMath>
            <w:r>
              <w:rPr>
                <w:rFonts w:hint="eastAsia" w:ascii="Cambria Math" w:hAnsi="Cambria Math" w:eastAsia="宋体" w:cs="宋体"/>
                <w:sz w:val="15"/>
                <w:szCs w:val="15"/>
              </w:rPr>
              <w:tab/>
            </w:r>
            <m:oMath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15"/>
                  <w:szCs w:val="15"/>
                </w:rPr>
                <m:t>口发布会/听证会</m:t>
              </m:r>
            </m:oMath>
          </w:p>
          <w:p w14:paraId="61783740">
            <w:pPr>
              <w:pStyle w:val="24"/>
              <w:spacing w:before="0" w:after="0"/>
              <w:jc w:val="both"/>
              <w:rPr>
                <w:rFonts w:ascii="Cambria Math" w:hAnsi="Cambria Math" w:eastAsia="宋体" w:cs="宋体"/>
                <w:sz w:val="15"/>
                <w:szCs w:val="15"/>
                <w:oMath/>
              </w:rPr>
            </w:pPr>
            <m:oMath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15"/>
                  <w:szCs w:val="15"/>
                </w:rPr>
                <m:t>口广播电视</m:t>
              </m:r>
            </m:oMath>
            <w:r>
              <w:rPr>
                <w:rFonts w:hint="eastAsia" w:ascii="Cambria Math" w:hAnsi="Cambria Math" w:eastAsia="宋体" w:cs="宋体"/>
                <w:sz w:val="15"/>
                <w:szCs w:val="15"/>
              </w:rPr>
              <w:tab/>
            </w:r>
            <m:oMath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15"/>
                  <w:szCs w:val="15"/>
                </w:rPr>
                <m:t>口纸质媒体</m:t>
              </m:r>
            </m:oMath>
          </w:p>
          <w:p w14:paraId="5BEC875D">
            <w:pPr>
              <w:pStyle w:val="24"/>
              <w:spacing w:before="0" w:after="0"/>
              <w:jc w:val="both"/>
              <w:rPr>
                <w:rFonts w:ascii="Cambria Math" w:hAnsi="Cambria Math" w:eastAsia="宋体" w:cs="宋体"/>
                <w:sz w:val="15"/>
                <w:szCs w:val="15"/>
                <w:oMath/>
              </w:rPr>
            </w:pPr>
            <m:oMath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15"/>
                  <w:szCs w:val="15"/>
                </w:rPr>
                <m:t>口公开查阅点</m:t>
              </m:r>
            </m:oMath>
            <w:r>
              <w:rPr>
                <w:rFonts w:hint="eastAsia" w:ascii="Cambria Math" w:hAnsi="Cambria Math" w:eastAsia="宋体" w:cs="宋体"/>
                <w:sz w:val="15"/>
                <w:szCs w:val="15"/>
              </w:rPr>
              <w:tab/>
            </w:r>
            <m:oMath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15"/>
                  <w:szCs w:val="15"/>
                </w:rPr>
                <m:t>口政务服务中心</m:t>
              </m:r>
            </m:oMath>
          </w:p>
          <w:p w14:paraId="1C11D0F5">
            <w:pPr>
              <w:pStyle w:val="24"/>
              <w:spacing w:before="0" w:after="0"/>
              <w:jc w:val="both"/>
              <w:rPr>
                <w:rFonts w:ascii="Cambria Math" w:hAnsi="Cambria Math" w:eastAsia="宋体" w:cs="宋体"/>
                <w:sz w:val="15"/>
                <w:szCs w:val="15"/>
                <w:oMath/>
              </w:rPr>
            </w:pPr>
            <m:oMath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15"/>
                  <w:szCs w:val="15"/>
                </w:rPr>
                <m:t>口便民服务站</m:t>
              </m:r>
            </m:oMath>
            <w:r>
              <w:rPr>
                <w:rFonts w:hint="eastAsia" w:ascii="Cambria Math" w:hAnsi="Cambria Math" w:eastAsia="宋体" w:cs="宋体"/>
                <w:sz w:val="15"/>
                <w:szCs w:val="15"/>
              </w:rPr>
              <w:tab/>
            </w:r>
            <m:oMath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15"/>
                  <w:szCs w:val="15"/>
                </w:rPr>
                <m:t>口入户/现场</m:t>
              </m:r>
            </m:oMath>
          </w:p>
          <w:p w14:paraId="7289F622">
            <w:pPr>
              <w:pStyle w:val="24"/>
              <w:spacing w:before="0" w:after="0"/>
              <w:jc w:val="both"/>
              <w:rPr>
                <w:rFonts w:ascii="Cambria Math" w:hAnsi="Cambria Math" w:eastAsia="宋体" w:cs="宋体"/>
                <w:sz w:val="15"/>
                <w:szCs w:val="15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15"/>
                    <w:szCs w:val="15"/>
                  </w:rPr>
                  <m:t>■社区/企事业单位/村公示栏(电子屏)</m:t>
                </m:r>
              </m:oMath>
            </m:oMathPara>
          </w:p>
          <w:p w14:paraId="31B459DC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</w:rPr>
            </w:pPr>
            <m:oMath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15"/>
                  <w:szCs w:val="15"/>
                </w:rPr>
                <m:t>口精准推送</m:t>
              </m:r>
            </m:oMath>
            <w:r>
              <w:rPr>
                <w:rFonts w:hint="eastAsia" w:ascii="Cambria Math" w:hAnsi="Cambria Math" w:eastAsia="宋体" w:cs="宋体"/>
                <w:sz w:val="15"/>
                <w:szCs w:val="15"/>
              </w:rPr>
              <w:tab/>
            </w:r>
            <m:oMath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15"/>
                  <w:szCs w:val="15"/>
                </w:rPr>
                <m:t>口其他_______</m:t>
              </m:r>
            </m:oMath>
          </w:p>
        </w:tc>
        <w:tc>
          <w:tcPr>
            <w:tcW w:w="608" w:type="dxa"/>
            <w:vAlign w:val="center"/>
          </w:tcPr>
          <w:p w14:paraId="6EE808C9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√</w:t>
            </w:r>
          </w:p>
        </w:tc>
        <w:tc>
          <w:tcPr>
            <w:tcW w:w="431" w:type="dxa"/>
            <w:vAlign w:val="center"/>
          </w:tcPr>
          <w:p w14:paraId="56A60C3E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</w:rPr>
            </w:pPr>
          </w:p>
        </w:tc>
        <w:tc>
          <w:tcPr>
            <w:tcW w:w="561" w:type="dxa"/>
            <w:vAlign w:val="center"/>
          </w:tcPr>
          <w:p w14:paraId="3B307EDD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√</w:t>
            </w:r>
          </w:p>
        </w:tc>
        <w:tc>
          <w:tcPr>
            <w:tcW w:w="406" w:type="dxa"/>
            <w:vAlign w:val="center"/>
          </w:tcPr>
          <w:p w14:paraId="4E7FC40B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</w:rPr>
            </w:pPr>
          </w:p>
        </w:tc>
        <w:tc>
          <w:tcPr>
            <w:tcW w:w="578" w:type="dxa"/>
            <w:vAlign w:val="center"/>
          </w:tcPr>
          <w:p w14:paraId="1690B915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</w:rPr>
            </w:pPr>
          </w:p>
        </w:tc>
        <w:tc>
          <w:tcPr>
            <w:tcW w:w="397" w:type="dxa"/>
            <w:vAlign w:val="center"/>
          </w:tcPr>
          <w:p w14:paraId="4919215C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√</w:t>
            </w:r>
          </w:p>
        </w:tc>
      </w:tr>
      <w:tr w14:paraId="0A820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dxa"/>
            <w:vAlign w:val="center"/>
          </w:tcPr>
          <w:p w14:paraId="7BBFDCF8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4</w:t>
            </w:r>
          </w:p>
        </w:tc>
        <w:tc>
          <w:tcPr>
            <w:tcW w:w="601" w:type="dxa"/>
            <w:vAlign w:val="center"/>
          </w:tcPr>
          <w:p w14:paraId="0A8D1E3E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2.动物防疫等补助经费</w:t>
            </w:r>
          </w:p>
        </w:tc>
        <w:tc>
          <w:tcPr>
            <w:tcW w:w="764" w:type="dxa"/>
            <w:vAlign w:val="center"/>
          </w:tcPr>
          <w:p w14:paraId="62CDE5A5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强制扑杀、强制免疫和养殖环节无害化处理补助</w:t>
            </w:r>
          </w:p>
        </w:tc>
        <w:tc>
          <w:tcPr>
            <w:tcW w:w="2494" w:type="dxa"/>
            <w:vAlign w:val="center"/>
          </w:tcPr>
          <w:p w14:paraId="0FEFE2D4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●政策依据;</w:t>
            </w:r>
          </w:p>
          <w:p w14:paraId="00DDAA79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●申请指南包括补贴对象、补贴范围、补贴标：准、申请程序、申请材料、咨询电话、受理单位、办理时限、联系方式等;</w:t>
            </w:r>
          </w:p>
          <w:p w14:paraId="52E1940F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●补贴结果;</w:t>
            </w:r>
          </w:p>
          <w:p w14:paraId="32F9F4D1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●监督渠道:包括举报电话、地址等。</w:t>
            </w:r>
          </w:p>
        </w:tc>
        <w:tc>
          <w:tcPr>
            <w:tcW w:w="2205" w:type="dxa"/>
            <w:vAlign w:val="center"/>
          </w:tcPr>
          <w:p w14:paraId="3A31D469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《中华人民共和国动物防疫法》、《动物防疫等补助经费管理办法》(财农(2017)43号)、《云南省动物防疫补助实施方案》</w:t>
            </w:r>
          </w:p>
        </w:tc>
        <w:tc>
          <w:tcPr>
            <w:tcW w:w="1117" w:type="dxa"/>
            <w:vAlign w:val="center"/>
          </w:tcPr>
          <w:p w14:paraId="24AE9BDC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信息形成或者变更之日起20个工作日内</w:t>
            </w:r>
          </w:p>
        </w:tc>
        <w:tc>
          <w:tcPr>
            <w:tcW w:w="1301" w:type="dxa"/>
            <w:vAlign w:val="center"/>
          </w:tcPr>
          <w:p w14:paraId="599E06FC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勐佑镇人民政府</w:t>
            </w:r>
          </w:p>
        </w:tc>
        <w:tc>
          <w:tcPr>
            <w:tcW w:w="3062" w:type="dxa"/>
            <w:vAlign w:val="center"/>
          </w:tcPr>
          <w:p w14:paraId="1E7ED701">
            <w:pPr>
              <w:pStyle w:val="24"/>
              <w:spacing w:before="0" w:after="0"/>
              <w:jc w:val="both"/>
              <w:rPr>
                <w:rFonts w:ascii="Cambria Math" w:hAnsi="Cambria Math" w:eastAsia="宋体" w:cs="宋体"/>
                <w:sz w:val="15"/>
                <w:szCs w:val="15"/>
                <w:oMath/>
              </w:rPr>
            </w:pPr>
            <m:oMath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15"/>
                  <w:szCs w:val="15"/>
                </w:rPr>
                <m:t>■政府网站</m:t>
              </m:r>
            </m:oMath>
            <w:r>
              <w:rPr>
                <w:rFonts w:hint="eastAsia" w:ascii="Cambria Math" w:hAnsi="Cambria Math" w:eastAsia="宋体" w:cs="宋体"/>
                <w:sz w:val="15"/>
                <w:szCs w:val="15"/>
              </w:rPr>
              <w:tab/>
            </w:r>
            <m:oMath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15"/>
                  <w:szCs w:val="15"/>
                </w:rPr>
                <m:t>口政府公报</m:t>
              </m:r>
            </m:oMath>
          </w:p>
          <w:p w14:paraId="030AF298">
            <w:pPr>
              <w:pStyle w:val="24"/>
              <w:spacing w:before="0" w:after="0"/>
              <w:jc w:val="both"/>
              <w:rPr>
                <w:rFonts w:ascii="Cambria Math" w:hAnsi="Cambria Math" w:eastAsia="宋体" w:cs="宋体"/>
                <w:sz w:val="15"/>
                <w:szCs w:val="15"/>
                <w:oMath/>
              </w:rPr>
            </w:pPr>
            <m:oMath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15"/>
                  <w:szCs w:val="15"/>
                </w:rPr>
                <m:t>口两微一端</m:t>
              </m:r>
            </m:oMath>
            <w:r>
              <w:rPr>
                <w:rFonts w:hint="eastAsia" w:ascii="Cambria Math" w:hAnsi="Cambria Math" w:eastAsia="宋体" w:cs="宋体"/>
                <w:sz w:val="15"/>
                <w:szCs w:val="15"/>
              </w:rPr>
              <w:tab/>
            </w:r>
            <m:oMath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15"/>
                  <w:szCs w:val="15"/>
                </w:rPr>
                <m:t>口发布会/听证会</m:t>
              </m:r>
            </m:oMath>
          </w:p>
          <w:p w14:paraId="560971A8">
            <w:pPr>
              <w:pStyle w:val="24"/>
              <w:spacing w:before="0" w:after="0"/>
              <w:jc w:val="both"/>
              <w:rPr>
                <w:rFonts w:ascii="Cambria Math" w:hAnsi="Cambria Math" w:eastAsia="宋体" w:cs="宋体"/>
                <w:sz w:val="15"/>
                <w:szCs w:val="15"/>
                <w:oMath/>
              </w:rPr>
            </w:pPr>
            <m:oMath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15"/>
                  <w:szCs w:val="15"/>
                </w:rPr>
                <m:t>口广播电视</m:t>
              </m:r>
            </m:oMath>
            <w:r>
              <w:rPr>
                <w:rFonts w:hint="eastAsia" w:ascii="Cambria Math" w:hAnsi="Cambria Math" w:eastAsia="宋体" w:cs="宋体"/>
                <w:sz w:val="15"/>
                <w:szCs w:val="15"/>
              </w:rPr>
              <w:tab/>
            </w:r>
            <m:oMath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15"/>
                  <w:szCs w:val="15"/>
                </w:rPr>
                <m:t>口纸质媒体</m:t>
              </m:r>
            </m:oMath>
          </w:p>
          <w:p w14:paraId="435A1BF7">
            <w:pPr>
              <w:pStyle w:val="24"/>
              <w:spacing w:before="0" w:after="0"/>
              <w:jc w:val="both"/>
              <w:rPr>
                <w:rFonts w:ascii="Cambria Math" w:hAnsi="Cambria Math" w:eastAsia="宋体" w:cs="宋体"/>
                <w:sz w:val="15"/>
                <w:szCs w:val="15"/>
                <w:oMath/>
              </w:rPr>
            </w:pPr>
            <m:oMath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15"/>
                  <w:szCs w:val="15"/>
                </w:rPr>
                <m:t>口公开查阅点</m:t>
              </m:r>
            </m:oMath>
            <w:r>
              <w:rPr>
                <w:rFonts w:hint="eastAsia" w:ascii="Cambria Math" w:hAnsi="Cambria Math" w:eastAsia="宋体" w:cs="宋体"/>
                <w:sz w:val="15"/>
                <w:szCs w:val="15"/>
              </w:rPr>
              <w:tab/>
            </w:r>
            <m:oMath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15"/>
                  <w:szCs w:val="15"/>
                </w:rPr>
                <m:t>口政务服务中心</m:t>
              </m:r>
            </m:oMath>
          </w:p>
          <w:p w14:paraId="72EFACB7">
            <w:pPr>
              <w:pStyle w:val="24"/>
              <w:spacing w:before="0" w:after="0"/>
              <w:jc w:val="both"/>
              <w:rPr>
                <w:rFonts w:ascii="Cambria Math" w:hAnsi="Cambria Math" w:eastAsia="宋体" w:cs="宋体"/>
                <w:sz w:val="15"/>
                <w:szCs w:val="15"/>
                <w:oMath/>
              </w:rPr>
            </w:pPr>
            <m:oMath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15"/>
                  <w:szCs w:val="15"/>
                </w:rPr>
                <m:t>口便民服务站</m:t>
              </m:r>
            </m:oMath>
            <w:r>
              <w:rPr>
                <w:rFonts w:hint="eastAsia" w:ascii="Cambria Math" w:hAnsi="Cambria Math" w:eastAsia="宋体" w:cs="宋体"/>
                <w:sz w:val="15"/>
                <w:szCs w:val="15"/>
              </w:rPr>
              <w:tab/>
            </w:r>
            <m:oMath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15"/>
                  <w:szCs w:val="15"/>
                </w:rPr>
                <m:t>口入户/现场</m:t>
              </m:r>
            </m:oMath>
          </w:p>
          <w:p w14:paraId="6FC1EE73">
            <w:pPr>
              <w:pStyle w:val="24"/>
              <w:spacing w:before="0" w:after="0"/>
              <w:jc w:val="both"/>
              <w:rPr>
                <w:rFonts w:ascii="Cambria Math" w:hAnsi="Cambria Math" w:eastAsia="宋体" w:cs="宋体"/>
                <w:sz w:val="15"/>
                <w:szCs w:val="15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15"/>
                    <w:szCs w:val="15"/>
                  </w:rPr>
                  <m:t>■社区/企事业单位/村公示栏(电子屏)</m:t>
                </m:r>
              </m:oMath>
            </m:oMathPara>
          </w:p>
          <w:p w14:paraId="7DE5A949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</w:rPr>
            </w:pPr>
            <m:oMath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15"/>
                  <w:szCs w:val="15"/>
                </w:rPr>
                <m:t>口精准推送</m:t>
              </m:r>
            </m:oMath>
            <w:r>
              <w:rPr>
                <w:rFonts w:hint="eastAsia" w:ascii="Cambria Math" w:hAnsi="Cambria Math" w:eastAsia="宋体" w:cs="宋体"/>
                <w:sz w:val="15"/>
                <w:szCs w:val="15"/>
              </w:rPr>
              <w:tab/>
            </w:r>
            <m:oMath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15"/>
                  <w:szCs w:val="15"/>
                </w:rPr>
                <m:t>口其他______</m:t>
              </m:r>
            </m:oMath>
          </w:p>
        </w:tc>
        <w:tc>
          <w:tcPr>
            <w:tcW w:w="608" w:type="dxa"/>
            <w:vAlign w:val="center"/>
          </w:tcPr>
          <w:p w14:paraId="6E9C4AEE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√</w:t>
            </w:r>
          </w:p>
        </w:tc>
        <w:tc>
          <w:tcPr>
            <w:tcW w:w="431" w:type="dxa"/>
            <w:vAlign w:val="center"/>
          </w:tcPr>
          <w:p w14:paraId="7CF37E93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</w:rPr>
            </w:pPr>
          </w:p>
        </w:tc>
        <w:tc>
          <w:tcPr>
            <w:tcW w:w="561" w:type="dxa"/>
            <w:vAlign w:val="center"/>
          </w:tcPr>
          <w:p w14:paraId="244BBFD2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√</w:t>
            </w:r>
          </w:p>
        </w:tc>
        <w:tc>
          <w:tcPr>
            <w:tcW w:w="406" w:type="dxa"/>
            <w:vAlign w:val="center"/>
          </w:tcPr>
          <w:p w14:paraId="090A9CDB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</w:rPr>
            </w:pPr>
          </w:p>
        </w:tc>
        <w:tc>
          <w:tcPr>
            <w:tcW w:w="578" w:type="dxa"/>
            <w:vAlign w:val="center"/>
          </w:tcPr>
          <w:p w14:paraId="77302E8F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</w:rPr>
            </w:pPr>
          </w:p>
        </w:tc>
        <w:tc>
          <w:tcPr>
            <w:tcW w:w="397" w:type="dxa"/>
            <w:vAlign w:val="center"/>
          </w:tcPr>
          <w:p w14:paraId="0E771C36">
            <w:pPr>
              <w:pStyle w:val="24"/>
              <w:spacing w:before="0" w:after="0"/>
              <w:jc w:val="both"/>
              <w:rPr>
                <w:rFonts w:ascii="Times New Roman" w:hAnsi="Times New Roman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  <w:lang w:eastAsia="zh-CN"/>
              </w:rPr>
              <w:t>√</w:t>
            </w:r>
          </w:p>
        </w:tc>
      </w:tr>
    </w:tbl>
    <w:p w14:paraId="3A04C1F5">
      <w:pPr>
        <w:pStyle w:val="3"/>
      </w:pPr>
      <w:r>
        <w:rPr>
          <w:rFonts w:hint="eastAsia"/>
          <w:sz w:val="20"/>
          <w:szCs w:val="20"/>
        </w:rPr>
        <w:t>注</w:t>
      </w:r>
      <w:r>
        <w:rPr>
          <w:rFonts w:hint="eastAsia"/>
          <w:sz w:val="20"/>
          <w:szCs w:val="20"/>
          <w:lang w:eastAsia="zh-CN"/>
        </w:rPr>
        <w:t>:</w:t>
      </w:r>
      <w:r>
        <w:rPr>
          <w:rFonts w:hint="eastAsia"/>
          <w:sz w:val="20"/>
          <w:szCs w:val="20"/>
        </w:rPr>
        <w:t>公开信息时应注意保护个人身份信息和隐私安全。</w:t>
      </w:r>
      <w:bookmarkEnd w:id="0"/>
    </w:p>
    <w:sectPr>
      <w:pgSz w:w="16838" w:h="11906" w:orient="landscape"/>
      <w:pgMar w:top="1440" w:right="1080" w:bottom="1440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readOnly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2D"/>
    <w:rsid w:val="0020064F"/>
    <w:rsid w:val="002018C6"/>
    <w:rsid w:val="00322CDE"/>
    <w:rsid w:val="006B1FB1"/>
    <w:rsid w:val="006F1AF3"/>
    <w:rsid w:val="007105C1"/>
    <w:rsid w:val="0086168D"/>
    <w:rsid w:val="009D1868"/>
    <w:rsid w:val="009F6F85"/>
    <w:rsid w:val="00C57AB6"/>
    <w:rsid w:val="00C8062D"/>
    <w:rsid w:val="017C37DF"/>
    <w:rsid w:val="11755B31"/>
    <w:rsid w:val="1CE343B6"/>
    <w:rsid w:val="219A51EA"/>
    <w:rsid w:val="3BD26927"/>
    <w:rsid w:val="70D43728"/>
    <w:rsid w:val="798A7F1B"/>
    <w:rsid w:val="7AC2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100" w:after="100"/>
      <w:jc w:val="center"/>
      <w:outlineLvl w:val="0"/>
    </w:pPr>
    <w:rPr>
      <w:rFonts w:eastAsia="黑体" w:asciiTheme="majorHAnsi" w:hAnsiTheme="majorHAnsi" w:cstheme="majorBidi"/>
      <w:bCs/>
      <w:sz w:val="32"/>
      <w:szCs w:val="32"/>
      <w:lang w:eastAsia="zh-CN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Cs/>
      <w:i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Cs/>
      <w:color w:val="4F81BD" w:themeColor="accent1"/>
      <w14:textFill>
        <w14:solidFill>
          <w14:schemeClr w14:val="accent1"/>
        </w14:solidFill>
      </w14:textFill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180" w:after="180"/>
    </w:pPr>
  </w:style>
  <w:style w:type="paragraph" w:styleId="12">
    <w:name w:val="caption"/>
    <w:basedOn w:val="1"/>
    <w:link w:val="21"/>
    <w:uiPriority w:val="0"/>
    <w:pPr>
      <w:spacing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left="480" w:right="480"/>
    </w:p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styleId="15">
    <w:name w:val="Subtitle"/>
    <w:basedOn w:val="16"/>
    <w:next w:val="3"/>
    <w:qFormat/>
    <w:uiPriority w:val="0"/>
    <w:pPr>
      <w:spacing w:before="240"/>
    </w:pPr>
    <w:rPr>
      <w:sz w:val="30"/>
      <w:szCs w:val="30"/>
    </w:rPr>
  </w:style>
  <w:style w:type="paragraph" w:styleId="16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45B8A" w:themeColor="accent1" w:themeShade="B5"/>
      <w:sz w:val="36"/>
      <w:szCs w:val="36"/>
    </w:rPr>
  </w:style>
  <w:style w:type="paragraph" w:styleId="17">
    <w:name w:val="footnote text"/>
    <w:basedOn w:val="1"/>
    <w:unhideWhenUsed/>
    <w:qFormat/>
    <w:uiPriority w:val="9"/>
  </w:style>
  <w:style w:type="character" w:styleId="20">
    <w:name w:val="Hyperlink"/>
    <w:basedOn w:val="21"/>
    <w:qFormat/>
    <w:uiPriority w:val="0"/>
    <w:rPr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题注 字符"/>
    <w:basedOn w:val="19"/>
    <w:link w:val="12"/>
    <w:qFormat/>
    <w:uiPriority w:val="0"/>
  </w:style>
  <w:style w:type="character" w:styleId="22">
    <w:name w:val="footnote reference"/>
    <w:basedOn w:val="21"/>
    <w:qFormat/>
    <w:uiPriority w:val="0"/>
    <w:rPr>
      <w:vertAlign w:val="superscript"/>
    </w:rPr>
  </w:style>
  <w:style w:type="paragraph" w:customStyle="1" w:styleId="23">
    <w:name w:val="First Paragraph"/>
    <w:basedOn w:val="3"/>
    <w:next w:val="3"/>
    <w:qFormat/>
    <w:uiPriority w:val="0"/>
  </w:style>
  <w:style w:type="paragraph" w:customStyle="1" w:styleId="24">
    <w:name w:val="Compact"/>
    <w:basedOn w:val="3"/>
    <w:qFormat/>
    <w:uiPriority w:val="0"/>
    <w:pPr>
      <w:spacing w:before="36" w:after="36"/>
    </w:pPr>
  </w:style>
  <w:style w:type="paragraph" w:customStyle="1" w:styleId="25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26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7">
    <w:name w:val="书目1"/>
    <w:basedOn w:val="1"/>
    <w:qFormat/>
    <w:uiPriority w:val="0"/>
  </w:style>
  <w:style w:type="table" w:customStyle="1" w:styleId="28">
    <w:name w:val="Table"/>
    <w:semiHidden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cPr>
        <w:tcBorders>
          <w:bottom w:val="single" w:color="auto" w:sz="0" w:space="0"/>
        </w:tcBorders>
        <w:vAlign w:val="bottom"/>
      </w:tcPr>
    </w:tblStylePr>
  </w:style>
  <w:style w:type="paragraph" w:customStyle="1" w:styleId="29">
    <w:name w:val="Definition Term"/>
    <w:basedOn w:val="1"/>
    <w:next w:val="30"/>
    <w:qFormat/>
    <w:uiPriority w:val="0"/>
    <w:pPr>
      <w:keepNext/>
      <w:keepLines/>
      <w:spacing w:after="0"/>
    </w:pPr>
    <w:rPr>
      <w:b/>
    </w:rPr>
  </w:style>
  <w:style w:type="paragraph" w:customStyle="1" w:styleId="30">
    <w:name w:val="Definition"/>
    <w:basedOn w:val="1"/>
    <w:qFormat/>
    <w:uiPriority w:val="0"/>
  </w:style>
  <w:style w:type="paragraph" w:customStyle="1" w:styleId="31">
    <w:name w:val="Table Caption"/>
    <w:basedOn w:val="12"/>
    <w:qFormat/>
    <w:uiPriority w:val="0"/>
    <w:pPr>
      <w:keepNext/>
    </w:pPr>
  </w:style>
  <w:style w:type="paragraph" w:customStyle="1" w:styleId="32">
    <w:name w:val="Image Caption"/>
    <w:basedOn w:val="12"/>
    <w:qFormat/>
    <w:uiPriority w:val="0"/>
  </w:style>
  <w:style w:type="paragraph" w:customStyle="1" w:styleId="33">
    <w:name w:val="Figure"/>
    <w:basedOn w:val="1"/>
    <w:qFormat/>
    <w:uiPriority w:val="0"/>
  </w:style>
  <w:style w:type="paragraph" w:customStyle="1" w:styleId="34">
    <w:name w:val="Captioned Figure"/>
    <w:basedOn w:val="33"/>
    <w:qFormat/>
    <w:uiPriority w:val="0"/>
    <w:pPr>
      <w:keepNext/>
    </w:pPr>
  </w:style>
  <w:style w:type="character" w:customStyle="1" w:styleId="35">
    <w:name w:val="Verbatim Char"/>
    <w:basedOn w:val="21"/>
    <w:link w:val="36"/>
    <w:qFormat/>
    <w:uiPriority w:val="0"/>
    <w:rPr>
      <w:rFonts w:ascii="Consolas" w:hAnsi="Consolas"/>
      <w:sz w:val="22"/>
    </w:rPr>
  </w:style>
  <w:style w:type="paragraph" w:customStyle="1" w:styleId="36">
    <w:name w:val="Source Code"/>
    <w:link w:val="35"/>
    <w:qFormat/>
    <w:uiPriority w:val="0"/>
    <w:pPr>
      <w:wordWrap w:val="0"/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customStyle="1" w:styleId="37">
    <w:name w:val="Section Number"/>
    <w:basedOn w:val="21"/>
    <w:qFormat/>
    <w:uiPriority w:val="0"/>
  </w:style>
  <w:style w:type="paragraph" w:customStyle="1" w:styleId="38">
    <w:name w:val="TOC 标题1"/>
    <w:basedOn w:val="2"/>
    <w:next w:val="3"/>
    <w:unhideWhenUsed/>
    <w:qFormat/>
    <w:uiPriority w:val="39"/>
    <w:pPr>
      <w:spacing w:before="240" w:line="259" w:lineRule="auto"/>
      <w:outlineLvl w:val="9"/>
    </w:pPr>
    <w:rPr>
      <w:bCs w:val="0"/>
      <w:color w:val="376092" w:themeColor="accent1" w:themeShade="BF"/>
    </w:rPr>
  </w:style>
  <w:style w:type="character" w:customStyle="1" w:styleId="39">
    <w:name w:val="KeywordTok"/>
    <w:basedOn w:val="35"/>
    <w:qFormat/>
    <w:uiPriority w:val="0"/>
    <w:rPr>
      <w:rFonts w:ascii="Consolas" w:hAnsi="Consolas"/>
      <w:b/>
      <w:color w:val="007020"/>
      <w:sz w:val="22"/>
    </w:rPr>
  </w:style>
  <w:style w:type="character" w:customStyle="1" w:styleId="40">
    <w:name w:val="DataTypeTok"/>
    <w:basedOn w:val="35"/>
    <w:qFormat/>
    <w:uiPriority w:val="0"/>
    <w:rPr>
      <w:rFonts w:ascii="Consolas" w:hAnsi="Consolas"/>
      <w:color w:val="902000"/>
      <w:sz w:val="22"/>
    </w:rPr>
  </w:style>
  <w:style w:type="character" w:customStyle="1" w:styleId="41">
    <w:name w:val="DecValTok"/>
    <w:basedOn w:val="35"/>
    <w:qFormat/>
    <w:uiPriority w:val="0"/>
    <w:rPr>
      <w:rFonts w:ascii="Consolas" w:hAnsi="Consolas"/>
      <w:color w:val="40A070"/>
      <w:sz w:val="22"/>
    </w:rPr>
  </w:style>
  <w:style w:type="character" w:customStyle="1" w:styleId="42">
    <w:name w:val="BaseNTok"/>
    <w:basedOn w:val="35"/>
    <w:qFormat/>
    <w:uiPriority w:val="0"/>
    <w:rPr>
      <w:rFonts w:ascii="Consolas" w:hAnsi="Consolas"/>
      <w:color w:val="40A070"/>
      <w:sz w:val="22"/>
    </w:rPr>
  </w:style>
  <w:style w:type="character" w:customStyle="1" w:styleId="43">
    <w:name w:val="FloatTok"/>
    <w:basedOn w:val="35"/>
    <w:qFormat/>
    <w:uiPriority w:val="0"/>
    <w:rPr>
      <w:rFonts w:ascii="Consolas" w:hAnsi="Consolas"/>
      <w:color w:val="40A070"/>
      <w:sz w:val="22"/>
    </w:rPr>
  </w:style>
  <w:style w:type="character" w:customStyle="1" w:styleId="44">
    <w:name w:val="ConstantTok"/>
    <w:basedOn w:val="35"/>
    <w:qFormat/>
    <w:uiPriority w:val="0"/>
    <w:rPr>
      <w:rFonts w:ascii="Consolas" w:hAnsi="Consolas"/>
      <w:color w:val="880000"/>
      <w:sz w:val="22"/>
    </w:rPr>
  </w:style>
  <w:style w:type="character" w:customStyle="1" w:styleId="45">
    <w:name w:val="CharTok"/>
    <w:basedOn w:val="35"/>
    <w:qFormat/>
    <w:uiPriority w:val="0"/>
    <w:rPr>
      <w:rFonts w:ascii="Consolas" w:hAnsi="Consolas"/>
      <w:color w:val="4070A0"/>
      <w:sz w:val="22"/>
    </w:rPr>
  </w:style>
  <w:style w:type="character" w:customStyle="1" w:styleId="46">
    <w:name w:val="SpecialCharTok"/>
    <w:basedOn w:val="35"/>
    <w:qFormat/>
    <w:uiPriority w:val="0"/>
    <w:rPr>
      <w:rFonts w:ascii="Consolas" w:hAnsi="Consolas"/>
      <w:color w:val="4070A0"/>
      <w:sz w:val="22"/>
    </w:rPr>
  </w:style>
  <w:style w:type="character" w:customStyle="1" w:styleId="47">
    <w:name w:val="StringTok"/>
    <w:basedOn w:val="35"/>
    <w:qFormat/>
    <w:uiPriority w:val="0"/>
    <w:rPr>
      <w:rFonts w:ascii="Consolas" w:hAnsi="Consolas"/>
      <w:color w:val="4070A0"/>
      <w:sz w:val="22"/>
    </w:rPr>
  </w:style>
  <w:style w:type="character" w:customStyle="1" w:styleId="48">
    <w:name w:val="VerbatimStringTok"/>
    <w:basedOn w:val="35"/>
    <w:qFormat/>
    <w:uiPriority w:val="0"/>
    <w:rPr>
      <w:rFonts w:ascii="Consolas" w:hAnsi="Consolas"/>
      <w:color w:val="4070A0"/>
      <w:sz w:val="22"/>
    </w:rPr>
  </w:style>
  <w:style w:type="character" w:customStyle="1" w:styleId="49">
    <w:name w:val="SpecialStringTok"/>
    <w:basedOn w:val="35"/>
    <w:qFormat/>
    <w:uiPriority w:val="0"/>
    <w:rPr>
      <w:rFonts w:ascii="Consolas" w:hAnsi="Consolas"/>
      <w:color w:val="BB6688"/>
      <w:sz w:val="22"/>
    </w:rPr>
  </w:style>
  <w:style w:type="character" w:customStyle="1" w:styleId="50">
    <w:name w:val="ImportTok"/>
    <w:basedOn w:val="35"/>
    <w:qFormat/>
    <w:uiPriority w:val="0"/>
    <w:rPr>
      <w:rFonts w:ascii="Consolas" w:hAnsi="Consolas"/>
      <w:b/>
      <w:color w:val="008000"/>
      <w:sz w:val="22"/>
    </w:rPr>
  </w:style>
  <w:style w:type="character" w:customStyle="1" w:styleId="51">
    <w:name w:val="CommentTok"/>
    <w:basedOn w:val="35"/>
    <w:qFormat/>
    <w:uiPriority w:val="0"/>
    <w:rPr>
      <w:rFonts w:ascii="Consolas" w:hAnsi="Consolas"/>
      <w:i/>
      <w:color w:val="60A0B0"/>
      <w:sz w:val="22"/>
    </w:rPr>
  </w:style>
  <w:style w:type="character" w:customStyle="1" w:styleId="52">
    <w:name w:val="DocumentationTok"/>
    <w:basedOn w:val="35"/>
    <w:qFormat/>
    <w:uiPriority w:val="0"/>
    <w:rPr>
      <w:rFonts w:ascii="Consolas" w:hAnsi="Consolas"/>
      <w:i/>
      <w:color w:val="BA2121"/>
      <w:sz w:val="22"/>
    </w:rPr>
  </w:style>
  <w:style w:type="character" w:customStyle="1" w:styleId="53">
    <w:name w:val="AnnotationTok"/>
    <w:basedOn w:val="35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54">
    <w:name w:val="CommentVarTok"/>
    <w:basedOn w:val="35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55">
    <w:name w:val="OtherTok"/>
    <w:basedOn w:val="35"/>
    <w:qFormat/>
    <w:uiPriority w:val="0"/>
    <w:rPr>
      <w:rFonts w:ascii="Consolas" w:hAnsi="Consolas"/>
      <w:color w:val="007020"/>
      <w:sz w:val="22"/>
    </w:rPr>
  </w:style>
  <w:style w:type="character" w:customStyle="1" w:styleId="56">
    <w:name w:val="FunctionTok"/>
    <w:basedOn w:val="35"/>
    <w:qFormat/>
    <w:uiPriority w:val="0"/>
    <w:rPr>
      <w:rFonts w:ascii="Consolas" w:hAnsi="Consolas"/>
      <w:color w:val="06287E"/>
      <w:sz w:val="22"/>
    </w:rPr>
  </w:style>
  <w:style w:type="character" w:customStyle="1" w:styleId="57">
    <w:name w:val="VariableTok"/>
    <w:basedOn w:val="35"/>
    <w:qFormat/>
    <w:uiPriority w:val="0"/>
    <w:rPr>
      <w:rFonts w:ascii="Consolas" w:hAnsi="Consolas"/>
      <w:color w:val="19177C"/>
      <w:sz w:val="22"/>
    </w:rPr>
  </w:style>
  <w:style w:type="character" w:customStyle="1" w:styleId="58">
    <w:name w:val="ControlFlowTok"/>
    <w:basedOn w:val="35"/>
    <w:qFormat/>
    <w:uiPriority w:val="0"/>
    <w:rPr>
      <w:rFonts w:ascii="Consolas" w:hAnsi="Consolas"/>
      <w:b/>
      <w:color w:val="007020"/>
      <w:sz w:val="22"/>
    </w:rPr>
  </w:style>
  <w:style w:type="character" w:customStyle="1" w:styleId="59">
    <w:name w:val="OperatorTok"/>
    <w:basedOn w:val="35"/>
    <w:qFormat/>
    <w:uiPriority w:val="0"/>
    <w:rPr>
      <w:rFonts w:ascii="Consolas" w:hAnsi="Consolas"/>
      <w:color w:val="666666"/>
      <w:sz w:val="22"/>
    </w:rPr>
  </w:style>
  <w:style w:type="character" w:customStyle="1" w:styleId="60">
    <w:name w:val="BuiltInTok"/>
    <w:basedOn w:val="35"/>
    <w:qFormat/>
    <w:uiPriority w:val="0"/>
    <w:rPr>
      <w:rFonts w:ascii="Consolas" w:hAnsi="Consolas"/>
      <w:color w:val="008000"/>
      <w:sz w:val="22"/>
    </w:rPr>
  </w:style>
  <w:style w:type="character" w:customStyle="1" w:styleId="61">
    <w:name w:val="ExtensionTok"/>
    <w:basedOn w:val="35"/>
    <w:qFormat/>
    <w:uiPriority w:val="0"/>
    <w:rPr>
      <w:rFonts w:ascii="Consolas" w:hAnsi="Consolas"/>
      <w:sz w:val="22"/>
    </w:rPr>
  </w:style>
  <w:style w:type="character" w:customStyle="1" w:styleId="62">
    <w:name w:val="PreprocessorTok"/>
    <w:basedOn w:val="35"/>
    <w:qFormat/>
    <w:uiPriority w:val="0"/>
    <w:rPr>
      <w:rFonts w:ascii="Consolas" w:hAnsi="Consolas"/>
      <w:color w:val="BC7A00"/>
      <w:sz w:val="22"/>
    </w:rPr>
  </w:style>
  <w:style w:type="character" w:customStyle="1" w:styleId="63">
    <w:name w:val="AttributeTok"/>
    <w:basedOn w:val="35"/>
    <w:qFormat/>
    <w:uiPriority w:val="0"/>
    <w:rPr>
      <w:rFonts w:ascii="Consolas" w:hAnsi="Consolas"/>
      <w:color w:val="7D9029"/>
      <w:sz w:val="22"/>
    </w:rPr>
  </w:style>
  <w:style w:type="character" w:customStyle="1" w:styleId="64">
    <w:name w:val="RegionMarkerTok"/>
    <w:basedOn w:val="35"/>
    <w:qFormat/>
    <w:uiPriority w:val="0"/>
    <w:rPr>
      <w:rFonts w:ascii="Consolas" w:hAnsi="Consolas"/>
      <w:sz w:val="22"/>
    </w:rPr>
  </w:style>
  <w:style w:type="character" w:customStyle="1" w:styleId="65">
    <w:name w:val="InformationTok"/>
    <w:basedOn w:val="35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66">
    <w:name w:val="WarningTok"/>
    <w:basedOn w:val="35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67">
    <w:name w:val="AlertTok"/>
    <w:basedOn w:val="35"/>
    <w:qFormat/>
    <w:uiPriority w:val="0"/>
    <w:rPr>
      <w:rFonts w:ascii="Consolas" w:hAnsi="Consolas"/>
      <w:b/>
      <w:color w:val="FF0000"/>
      <w:sz w:val="22"/>
    </w:rPr>
  </w:style>
  <w:style w:type="character" w:customStyle="1" w:styleId="68">
    <w:name w:val="ErrorTok"/>
    <w:basedOn w:val="35"/>
    <w:qFormat/>
    <w:uiPriority w:val="0"/>
    <w:rPr>
      <w:rFonts w:ascii="Consolas" w:hAnsi="Consolas"/>
      <w:b/>
      <w:color w:val="FF0000"/>
      <w:sz w:val="22"/>
    </w:rPr>
  </w:style>
  <w:style w:type="character" w:customStyle="1" w:styleId="69">
    <w:name w:val="NormalTok"/>
    <w:basedOn w:val="35"/>
    <w:qFormat/>
    <w:uiPriority w:val="0"/>
    <w:rPr>
      <w:rFonts w:ascii="Consolas" w:hAnsi="Consolas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1215</Words>
  <Characters>1300</Characters>
  <Lines>10</Lines>
  <Paragraphs>2</Paragraphs>
  <TotalTime>37</TotalTime>
  <ScaleCrop>false</ScaleCrop>
  <LinksUpToDate>false</LinksUpToDate>
  <CharactersWithSpaces>1324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2025-07-16T10:58:00Z</dcterms:created>
  <dc:creator>赚钱养梦</dc:creator>
  <cp:lastModifiedBy>赚钱养梦</cp:lastModifiedBy>
  <dcterms:modified xsi:type="dcterms:W3CDTF">2025-07-16T17:41:43Z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eyJoZGlkIjoiZmM1NTQyZWUzMDJmN2FiMWExNzczZWU2M2FmNTc5ZWUiLCJ1c2VySWQiOiI0NjQyMzg0MTAifQ==</vt:lpwstr>
  </property>
  <property fmtid="{D5CDD505-2E9C-101B-9397-08002B2CF9AE}" pid="3" name="KSOProductBuildVer">
    <vt:lpwstr>2052-12.1.0.19302</vt:lpwstr>
  </property>
  <property fmtid="{D5CDD505-2E9C-101B-9397-08002B2CF9AE}" pid="4" name="ICV">
    <vt:lpwstr>EF3A7BE5BC6E4F0E85D4B3345CE4920F_13</vt:lpwstr>
  </property>
</Properties>
</file>