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附件2-2：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凤庆县</w:t>
      </w:r>
      <w:r>
        <w:rPr>
          <w:rFonts w:eastAsia="方正小标宋_GBK"/>
          <w:sz w:val="44"/>
          <w:szCs w:val="44"/>
        </w:rPr>
        <w:t>自查自验情况表</w:t>
      </w:r>
    </w:p>
    <w:p>
      <w:pPr>
        <w:spacing w:line="33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自查自验组织单位：凤庆县人民政府 验收日期：2023年8月2日</w:t>
      </w:r>
    </w:p>
    <w:tbl>
      <w:tblPr>
        <w:tblStyle w:val="9"/>
        <w:tblW w:w="0" w:type="auto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2459"/>
        <w:gridCol w:w="915"/>
        <w:gridCol w:w="826"/>
        <w:gridCol w:w="914"/>
        <w:gridCol w:w="736"/>
        <w:gridCol w:w="254"/>
        <w:gridCol w:w="361"/>
        <w:gridCol w:w="1079"/>
        <w:gridCol w:w="240"/>
        <w:gridCol w:w="84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问题名称</w:t>
            </w:r>
          </w:p>
        </w:tc>
        <w:tc>
          <w:tcPr>
            <w:tcW w:w="7949" w:type="dxa"/>
            <w:gridSpan w:val="7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日常监督检查不到位。部分河（湖）长、成员单位履职尽责有差距，开展日常巡河次数不足、发现问题不及时，对环境风险问题整治情况跟踪落实不到位。凤庆县对迎春</w:t>
            </w:r>
            <w:bookmarkStart w:id="0" w:name="_GoBack"/>
            <w:r>
              <w:rPr>
                <w:rFonts w:hint="eastAsia" w:eastAsia="方正仿宋_GBK"/>
                <w:sz w:val="28"/>
                <w:szCs w:val="28"/>
              </w:rPr>
              <w:t>河缺乏有效源头治理，仅对县城段干流委托开展了保洁工作，对</w:t>
            </w:r>
            <w:bookmarkEnd w:id="0"/>
            <w:r>
              <w:rPr>
                <w:rFonts w:hint="eastAsia" w:eastAsia="方正仿宋_GBK"/>
                <w:sz w:val="28"/>
                <w:szCs w:val="28"/>
              </w:rPr>
              <w:t>入河支流垃圾清理不及时、不彻底，迎春河砚池公园段仍规律性地出现大雨过后“垃圾满江”的现象。</w:t>
            </w:r>
          </w:p>
        </w:tc>
        <w:tc>
          <w:tcPr>
            <w:tcW w:w="14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立行立改类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7949" w:type="dxa"/>
            <w:gridSpan w:val="7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14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定期整改类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2459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64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凤庆县水务局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949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强化河湖长履职尽责，推动河湖长制有能有效；加强源头治理，确保迎春河“河畅、水清、岸绿、景美”。提高发现问题整改问题的能力，开展“河长清河”、河湖“清四乱”，加大宣传力度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05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955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措施1：切实落实各级党委、政府河湖管理保护、治理属地责任，以及各行业主管部门（单位）责任。县水务局（县河长办 ）督促河湖长责任联系部门落实河湖长交办的工作任务，协助河湖长开展巡河巡湖、召开河湖长会议，做好巡查记录、宣传报道等，督促落实所联系河湖管理和保护中的问题整改，确保发现问题整改落地见效、形成“闭环”。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凤庆县全</w:t>
            </w:r>
            <w:r>
              <w:rPr>
                <w:rFonts w:hint="eastAsia" w:eastAsia="方正仿宋_GBK"/>
                <w:sz w:val="28"/>
                <w:szCs w:val="28"/>
              </w:rPr>
              <w:t>面</w:t>
            </w:r>
            <w:r>
              <w:rPr>
                <w:rFonts w:eastAsia="方正仿宋_GBK"/>
                <w:sz w:val="28"/>
                <w:szCs w:val="28"/>
              </w:rPr>
              <w:t>推行河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湖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  <w:r>
              <w:rPr>
                <w:rFonts w:eastAsia="方正仿宋_GBK"/>
                <w:sz w:val="28"/>
                <w:szCs w:val="28"/>
              </w:rPr>
              <w:t>长制工作领导小组办公室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2：持续推进河湖“清四乱”常态化规范化。持续推进澜沧江、怒江流域区域“四乱”问题清理整治，并向中小河流、乡村河湖延伸促进河湖生态环境复苏。巩固深化重点流域水质稳定达标攻坚，深入开展河道非法采砂专项整治行动，持续发力推进清水净湖行动，抓紧抓实妨碍河道行洪突出问题排查整治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凤庆县全</w:t>
            </w:r>
            <w:r>
              <w:rPr>
                <w:rFonts w:hint="eastAsia" w:eastAsia="方正仿宋_GBK"/>
                <w:sz w:val="28"/>
                <w:szCs w:val="28"/>
              </w:rPr>
              <w:t>面</w:t>
            </w:r>
            <w:r>
              <w:rPr>
                <w:rFonts w:eastAsia="方正仿宋_GBK"/>
                <w:sz w:val="28"/>
                <w:szCs w:val="28"/>
              </w:rPr>
              <w:t>推行河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湖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  <w:r>
              <w:rPr>
                <w:rFonts w:eastAsia="方正仿宋_GBK"/>
                <w:sz w:val="28"/>
                <w:szCs w:val="28"/>
              </w:rPr>
              <w:t>长制工作领导小组办公室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19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措施3：坚持“一河一策”，推进凤庆县迎春河水环境综合整治，突出流域污染精准溯源入河排污口排查整治、城镇污染治理、农业面源污染整治、工业污染防治、生态系统修复、执法监管等工作重点，系统全面推进迎春河水环境综合整治</w:t>
            </w:r>
          </w:p>
        </w:tc>
        <w:tc>
          <w:tcPr>
            <w:tcW w:w="9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0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凤庆县全</w:t>
            </w:r>
            <w:r>
              <w:rPr>
                <w:rFonts w:hint="eastAsia" w:eastAsia="方正仿宋_GBK"/>
                <w:sz w:val="28"/>
                <w:szCs w:val="28"/>
              </w:rPr>
              <w:t>面</w:t>
            </w:r>
            <w:r>
              <w:rPr>
                <w:rFonts w:eastAsia="方正仿宋_GBK"/>
                <w:sz w:val="28"/>
                <w:szCs w:val="28"/>
              </w:rPr>
              <w:t>推行河</w:t>
            </w: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湖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  <w:r>
              <w:rPr>
                <w:rFonts w:eastAsia="方正仿宋_GBK"/>
                <w:sz w:val="28"/>
                <w:szCs w:val="28"/>
              </w:rPr>
              <w:t>长制工作领导小组办公室</w:t>
            </w:r>
          </w:p>
        </w:tc>
        <w:tc>
          <w:tcPr>
            <w:tcW w:w="1351" w:type="dxa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31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规定时限完成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5819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9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740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51" w:type="dxa"/>
            <w:gridSpan w:val="3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1319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840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</w:pPr>
          </w:p>
        </w:tc>
        <w:tc>
          <w:tcPr>
            <w:tcW w:w="2971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环境违法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  <w:tc>
          <w:tcPr>
            <w:tcW w:w="2459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</w:p>
        </w:tc>
        <w:tc>
          <w:tcPr>
            <w:tcW w:w="2459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2459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5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36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群众满意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度调查</w:t>
            </w:r>
          </w:p>
        </w:tc>
        <w:tc>
          <w:tcPr>
            <w:tcW w:w="1845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☑</w:t>
            </w:r>
            <w:r>
              <w:rPr>
                <w:rFonts w:hint="eastAsia" w:eastAsia="方正仿宋_GBK"/>
                <w:sz w:val="28"/>
                <w:szCs w:val="28"/>
              </w:rPr>
              <w:t xml:space="preserve">  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2459" w:type="dxa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74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36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/>
          </w:tcPr>
          <w:p>
            <w:pPr>
              <w:adjustRightInd w:val="0"/>
              <w:snapToGrid w:val="0"/>
              <w:spacing w:line="33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经材料核实和现场核实，符合验收要求，同意上报组织验收。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8" w:leftChars="4"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1.自查自验组织单位</w:t>
      </w:r>
      <w:r>
        <w:rPr>
          <w:rFonts w:hint="eastAsia" w:eastAsia="方正仿宋_GBK"/>
          <w:sz w:val="28"/>
          <w:szCs w:val="28"/>
        </w:rPr>
        <w:t>为凤庆县人民政府</w:t>
      </w:r>
      <w:r>
        <w:rPr>
          <w:rFonts w:eastAsia="方正仿宋_GBK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．整改措施栏目根据通过审核的环境问题整改方案据实填写，超过3项整改措施的，可按照本表格另附完整的整改措施一览表，逐条列出整改措施、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4．违法行为查处责任单位根据具体违法行为确定责任单位，并不限于</w:t>
      </w:r>
      <w:r>
        <w:rPr>
          <w:rFonts w:hint="eastAsia" w:eastAsia="方正仿宋_GBK"/>
          <w:sz w:val="28"/>
          <w:szCs w:val="28"/>
        </w:rPr>
        <w:t>生态</w:t>
      </w:r>
      <w:r>
        <w:rPr>
          <w:rFonts w:eastAsia="方正仿宋_GBK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5．责任追究责任单位为各级纪检监察机关，办理情况进行简要精炼的说明。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6．信息公开链接填写凤庆县人民政府门户网站公示内容链接网址。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6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7．群众满意度调查的责任单位为</w:t>
      </w:r>
      <w:r>
        <w:rPr>
          <w:rFonts w:hint="eastAsia" w:eastAsia="方正仿宋_GBK"/>
          <w:sz w:val="28"/>
          <w:szCs w:val="28"/>
        </w:rPr>
        <w:t>牵头整改单位</w:t>
      </w:r>
      <w:r>
        <w:rPr>
          <w:rFonts w:eastAsia="方正仿宋_GBK"/>
          <w:sz w:val="28"/>
          <w:szCs w:val="28"/>
        </w:rPr>
        <w:t>，</w:t>
      </w:r>
      <w:r>
        <w:rPr>
          <w:rFonts w:hint="eastAsia" w:eastAsia="方正仿宋_GBK"/>
          <w:sz w:val="28"/>
          <w:szCs w:val="28"/>
        </w:rPr>
        <w:t>调查测评范围根据整改问题影响范围确定，</w:t>
      </w:r>
      <w:r>
        <w:rPr>
          <w:rFonts w:eastAsia="方正仿宋_GBK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8．验收结论及签字栏目中，验收结论与栏目中规范化表述不同的，可据实填写。参加验收的人员</w:t>
      </w:r>
      <w:r>
        <w:rPr>
          <w:rFonts w:hint="eastAsia" w:eastAsia="方正仿宋_GBK"/>
          <w:sz w:val="28"/>
          <w:szCs w:val="28"/>
        </w:rPr>
        <w:t>需包括配合整改单位和相关乡镇分管领导、责任人员，需</w:t>
      </w:r>
      <w:r>
        <w:rPr>
          <w:rFonts w:eastAsia="方正仿宋_GBK"/>
          <w:sz w:val="28"/>
          <w:szCs w:val="28"/>
        </w:rPr>
        <w:t>全员</w:t>
      </w:r>
      <w:r>
        <w:rPr>
          <w:rFonts w:hint="eastAsia" w:eastAsia="方正仿宋_GBK"/>
          <w:sz w:val="28"/>
          <w:szCs w:val="28"/>
        </w:rPr>
        <w:t>手写</w:t>
      </w:r>
      <w:r>
        <w:rPr>
          <w:rFonts w:eastAsia="方正仿宋_GBK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eastAsia="方正仿宋_GBK"/>
          <w:sz w:val="28"/>
          <w:szCs w:val="28"/>
        </w:rPr>
        <w:t>（附后）</w:t>
      </w:r>
      <w:r>
        <w:rPr>
          <w:rFonts w:eastAsia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</w:pPr>
      <w:r>
        <w:rPr>
          <w:rFonts w:eastAsia="方正仿宋_GBK"/>
          <w:sz w:val="28"/>
          <w:szCs w:val="28"/>
        </w:rPr>
        <w:t xml:space="preserve"> 9．填写是或否的内容，在“是”或“否”后打“√</w:t>
      </w:r>
      <w:r>
        <w:rPr>
          <w:rFonts w:hint="eastAsia" w:eastAsia="方正仿宋_GBK"/>
          <w:sz w:val="28"/>
          <w:szCs w:val="28"/>
        </w:rPr>
        <w:t>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7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zMTZmYWEwMzczNGRlNjdiN2NhYmEwOTA2ZjYyMzAifQ=="/>
  </w:docVars>
  <w:rsids>
    <w:rsidRoot w:val="7A862C48"/>
    <w:rsid w:val="00590B92"/>
    <w:rsid w:val="00C30909"/>
    <w:rsid w:val="00DE26B3"/>
    <w:rsid w:val="00FD133F"/>
    <w:rsid w:val="09095637"/>
    <w:rsid w:val="09C778BB"/>
    <w:rsid w:val="13CC1D73"/>
    <w:rsid w:val="1D5E1C8E"/>
    <w:rsid w:val="1D9C2616"/>
    <w:rsid w:val="209A07CB"/>
    <w:rsid w:val="33B9691A"/>
    <w:rsid w:val="38F848ED"/>
    <w:rsid w:val="40F8639A"/>
    <w:rsid w:val="48914416"/>
    <w:rsid w:val="4D1E5583"/>
    <w:rsid w:val="66CA55E8"/>
    <w:rsid w:val="6C07605D"/>
    <w:rsid w:val="72704F19"/>
    <w:rsid w:val="7A862C48"/>
    <w:rsid w:val="7DEB5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eastAsia="仿宋_GB231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sz w:val="24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/>
      <w:sz w:val="28"/>
      <w:szCs w:val="28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 Text First Indent1"/>
    <w:basedOn w:val="5"/>
    <w:qFormat/>
    <w:uiPriority w:val="0"/>
    <w:pPr>
      <w:adjustRightInd w:val="0"/>
      <w:spacing w:line="275" w:lineRule="atLeast"/>
      <w:ind w:firstLine="420"/>
      <w:textAlignment w:val="baseline"/>
    </w:pPr>
  </w:style>
  <w:style w:type="character" w:customStyle="1" w:styleId="13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4">
    <w:name w:val="font11"/>
    <w:basedOn w:val="11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临沧市凤庆县党政机关单位</Company>
  <Pages>4</Pages>
  <Words>261</Words>
  <Characters>1492</Characters>
  <Lines>12</Lines>
  <Paragraphs>3</Paragraphs>
  <TotalTime>11</TotalTime>
  <ScaleCrop>false</ScaleCrop>
  <LinksUpToDate>false</LinksUpToDate>
  <CharactersWithSpaces>1750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dcterms:modified xsi:type="dcterms:W3CDTF">2023-10-16T09:12:51Z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DBFAEC84391947328D02D53CF4390E3A_13</vt:lpwstr>
  </property>
</Properties>
</file>