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凤庆县涉企督促检查考核事项清单</w:t>
      </w:r>
    </w:p>
    <w:tbl>
      <w:tblPr>
        <w:tblStyle w:val="6"/>
        <w:tblW w:w="10229"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94"/>
        <w:gridCol w:w="1755"/>
        <w:gridCol w:w="3705"/>
        <w:gridCol w:w="159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序号</w:t>
            </w:r>
          </w:p>
        </w:tc>
        <w:tc>
          <w:tcPr>
            <w:tcW w:w="169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牵头检查部门</w:t>
            </w:r>
          </w:p>
        </w:tc>
        <w:tc>
          <w:tcPr>
            <w:tcW w:w="175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事项名称</w:t>
            </w: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设定依据</w:t>
            </w:r>
          </w:p>
        </w:tc>
        <w:tc>
          <w:tcPr>
            <w:tcW w:w="159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频次</w:t>
            </w:r>
          </w:p>
        </w:tc>
        <w:tc>
          <w:tcPr>
            <w:tcW w:w="73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对固定资产投资项目节能评估和审查意见落实情况的监督检查</w:t>
            </w:r>
          </w:p>
        </w:tc>
        <w:tc>
          <w:tcPr>
            <w:tcW w:w="370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《中华人民共和国节约能源法》《固定资产投资项目节能审查办法》《企业投资项目事中事后监管办法》《市场监管总局关于全面推进“双随机、一公开”监管工作的通知》</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2</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依法必须进行招标的工程建设项目招标投标活动开展随机抽查</w:t>
            </w:r>
          </w:p>
        </w:tc>
        <w:tc>
          <w:tcPr>
            <w:tcW w:w="370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招标投标法》《中华人民共和国招标投标法实施条例》《必须招标的工程项目规定》《必须招标的基础设施和公用事业项目范围规定》《市场监管总局关于全面推进“双随机、一公开”监管工作的通知》</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3</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发电企业、电网企业安全生产检查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《中华人民共和国安全生产法》《云南省电力设施保护条例》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2次/年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4</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政策性粮食承储企业开展粮食购销及粮食存储数量、质量、统计情况进行监督检查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《粮食流通管理条例》《粮食流通管理条例》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工业企业节能监督检查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《中华人民共和国节约能源法》《企业投资项目事中事后监管办法》《工业节能管理办法》《市场监管总局关于全面推进“双随机、一公开”监管工作的通知》</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民爆销售企业安全检查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《民爆物品安全管理条例》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1次/季度</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报废机动车回收拆解企业检查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《报废机动车回收管理办法》《报废机动车回收管理办法实施细则》《云南省报废机动车回收拆解管理办法》（云南省人民政府令</w:t>
            </w:r>
            <w:r>
              <w:rPr>
                <w:rFonts w:hint="eastAsia" w:ascii="Times New Roman" w:hAnsi="Times New Roman" w:eastAsia="方正仿宋_GBK" w:cs="Times New Roman"/>
                <w:sz w:val="21"/>
                <w:szCs w:val="21"/>
                <w:vertAlign w:val="baseline"/>
                <w:lang w:val="en-US" w:eastAsia="zh-CN"/>
              </w:rPr>
              <w:t>第</w:t>
            </w:r>
            <w:r>
              <w:rPr>
                <w:rFonts w:hint="default" w:ascii="Times New Roman" w:hAnsi="Times New Roman" w:eastAsia="方正仿宋_GBK" w:cs="Times New Roman"/>
                <w:sz w:val="21"/>
                <w:szCs w:val="21"/>
                <w:vertAlign w:val="baseline"/>
                <w:lang w:val="en-US" w:eastAsia="zh-CN"/>
              </w:rPr>
              <w:t>199号公布，第222号修改</w:t>
            </w:r>
            <w:r>
              <w:rPr>
                <w:rFonts w:hint="eastAsia" w:ascii="Times New Roman" w:hAnsi="Times New Roman" w:eastAsia="方正仿宋_GBK" w:cs="Times New Roman"/>
                <w:sz w:val="21"/>
                <w:szCs w:val="21"/>
                <w:vertAlign w:val="baseline"/>
                <w:lang w:val="en-US" w:eastAsia="zh-CN"/>
              </w:rPr>
              <w:t>）</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拍卖企业检查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《拍卖管理办法》</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按比例抽查</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对外劳务合作企业资质年度审核</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《对外劳务合作管理条例》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10</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劳动保障监察日常巡视检查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《劳动保障监察条例》《保障农民工工资支付条例》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适时开展</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11</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集中整治拖欠农民工工资专项行动</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《劳动保障监察条例》《保障农民工工资支付条例》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12</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清理整顿人力资源市场秩序专项行动</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《中华人民共和国劳动法》《中华人民共和国劳动合同法》《中华人民共和国就业促进法》《就业服务与就业管理规定》《人力资源市场暂行条例》等</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13</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民办职业技能培训学校年检</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根据《云南省民办职业培训学校管理办法》中第三十三条规定，各级人力资源和社会保障行政部门要对民办培训学校建立年检评估制度。</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14</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民办职业技能培训学校、技能人才评价机构、人力资源服务机构安全生产</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根据《凤庆县安全生产委员会关于印发2024年工作要点的通知》要求，严格落实行业主管部门安全生产监管责任，开展安全生产工作。</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15</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凤庆县自然资源局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测绘地理信息监督检查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《中华人民共和国测绘法》《国家秘密法》《测绘成果管理条例》《云南省测绘条例》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16</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对排放污染物的企业事业单位和其他生产经营者监督检查和监测</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《中华人民共和国环境保护法》第二十四条、《</w:t>
            </w:r>
            <w:bookmarkStart w:id="0" w:name="_GoBack"/>
            <w:bookmarkEnd w:id="0"/>
            <w:r>
              <w:rPr>
                <w:rFonts w:hint="eastAsia" w:ascii="Times New Roman" w:hAnsi="Times New Roman" w:eastAsia="方正仿宋_GBK" w:cs="Times New Roman"/>
                <w:b w:val="0"/>
                <w:bCs w:val="0"/>
                <w:sz w:val="21"/>
                <w:szCs w:val="21"/>
                <w:vertAlign w:val="baseline"/>
                <w:lang w:eastAsia="zh-CN"/>
              </w:rPr>
              <w:t>中华人民共和国水污染防治法</w:t>
            </w:r>
            <w:r>
              <w:rPr>
                <w:rFonts w:hint="default" w:ascii="Times New Roman" w:hAnsi="Times New Roman" w:eastAsia="方正仿宋_GBK" w:cs="Times New Roman"/>
                <w:b w:val="0"/>
                <w:bCs w:val="0"/>
                <w:sz w:val="21"/>
                <w:szCs w:val="21"/>
                <w:vertAlign w:val="baseline"/>
                <w:lang w:eastAsia="zh-CN"/>
              </w:rPr>
              <w:t>》第三十条、《中华人民共和国大气污染防治法》第二十九条、《中华人民共和国大气污染防治法》第二十六条、《中华人民共和国噪声污染防治法》第二十九条、《畜禽规模殖污染防治条例》（国务院第643号令）第二十三条等</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17</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对污染源自动监控设施现场监督检查；对自动监控系统的建设、运行和维护等监督检查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水污染防治法》第二十四条、《中华人民共和国大气污染防治法》第二十五条、《污染源自动监控设施现场监督检查办法》（环境保护部第19号令）第四条、《污染源自动监控管理办法》《国家环境保护总局第28号令）第六条第三项</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18</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对重点排污单位环境信息公开活动监督检查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《企业环境信息依法披露管理办法》（中华人民共和国生态环境部第24号令）第二十四条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19</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对自然保护区、畜禽养殖污染防治等生态和农村环境法律法规执行情况进行检查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《畜禽规模养殖污染防治条例》第二十三条、《环境监察办法》（2012年7月25日环境保护部令第21号）第六条第三款</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20</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建设项目环境影响评价落实情况的检查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《中华人民共和国环境影响评价法》第二十八条、《建设项目环境保护管理条例》第二十条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21</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涉消耗臭氧层物质（ODS）的生产、使用、销售、维修、回收、销毁及原料用途等企业和单位的监管</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《消耗臭氧层物质管理条例》（国务院令第573号）第二十五条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22</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机动车排放检验机构的排放检验情况监督检查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《中华人民共和国大气污染防治法》第五十四条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23</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畜禽规模养殖污染防治检查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《畜禽规模养殖污染防治条例》第二十三条、《环境监察办法》（2012年7月25日环境保护部令第21号）第六条第三款</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24</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sz w:val="21"/>
                <w:szCs w:val="21"/>
                <w:vertAlign w:val="baseline"/>
                <w:lang w:eastAsia="zh-CN"/>
              </w:rPr>
            </w:pPr>
            <w:r>
              <w:rPr>
                <w:rFonts w:hint="default" w:ascii="Times New Roman" w:hAnsi="Times New Roman" w:eastAsia="方正仿宋_GBK" w:cs="Times New Roman"/>
                <w:b w:val="0"/>
                <w:bCs w:val="0"/>
                <w:sz w:val="21"/>
                <w:szCs w:val="21"/>
                <w:vertAlign w:val="baseline"/>
                <w:lang w:eastAsia="zh-CN"/>
              </w:rPr>
              <w:t>市辖区内核技术利用单位辐射</w:t>
            </w:r>
          </w:p>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安全和防护监督检查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《中华人民共和国放射性污染防治法》第十一条、《放射线同位素与射线装置安全和防护条例》第四十六条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对辖区内使用放射源及Ⅱ类射线装置的核技术利用单位抽查比例不低于100%；使用Ⅲ类射线装置的核技术利用单位抽查比例不低于20%，持证期间内至少抽查1次。每年1次。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25</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生态环境监测机构联合抽查工作</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《检验检测机构资质认定管理办法》（国家质量监督检验检疫总局令第163号，2021年4月2日国家市场监督管理总局修订）、《检验检测机构监督管理办法》（国家市场监督管理总局令第39号）</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对城市园林绿化企业监督检查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《城市绿化条例》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城市市政企业(含景观照明)监督检查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《云南省城市建设管理条例》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对城市燃气企业监督检查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《城镇燃气管理条例》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城市供水企业的监督检查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《城市供水条例》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城市排水排污企业监督检查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《城镇排水与污水处理条例》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城市污水处理企业监督检查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《城镇排水与污水处理条例》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建筑节能强制性标准执行情况监督检</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《民用建筑节能条例》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建设工程发承包计价活动监督检查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《建筑工程施工发包与承包计价管理办法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建筑业企业资质、工程监理企业监督检查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《中华人民共和国建筑法》《建筑业企业资质管理规定》《工程监理企业资质管理规定》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建设工程质量检测活动监督检查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《中华人民共和国建筑法》《建设工程质量检测管理办法》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建筑工程抗震设防监督检查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《建设工程抗震管理条例》《云南省建设工程抗震设防管理条例》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对施工图审查机构监督检查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《房屋建筑和市政基础设施工程施工图设计文件审查管理办法》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对工程勘察、设计企业的监督检查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《建设工程勘察设计管理条例》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房地产开发经营活动监督检查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《城市房地产开发经营管理条例》《房地产开发企业资质管理规定》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房地产估价机构监督检查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《房地产估价机构管理办法》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房地产经纪机构监督检查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《房地产经纪管理办法》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物业管理活动监督检查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《物业管理条例》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城市生活餐厨垃圾收运、处理的检查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《城市生活垃圾处理办法》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市环卫企业检查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《云南省城市建设管理条例》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对主管的在建公路、水运建设工程项目，道路、水路客运企业开展安全生产监督检查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《云南省安全生产条例》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4次/年，或是根据实际情况适时开展</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城市公共交通活动监督检查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《云南省城市公共交通管理办法》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道路运输经营监督检查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地方公路监管</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《中华人民共和国公路法》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12次/年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1.水路运输企业安全监管履职情况2.水路运输企业安全生产主体责任、规范管理、经营制度落实情况</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《中华人民共和国国内水路运输管理条例》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通航安全监督检</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《中华人民共和国水上水下作业和活动通航安全管理规定》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客运企业质量信誉考核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《交通运输部道路旅客运输及站场管理规定》《交通运输部道路运输企业质量信誉考核办法》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货运企业质量信誉考核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《交通运输部道路货物运输及站场管理规定》《交通运输部道路运输企业质量信誉考核办法》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维修企业质量信誉考核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《交通运输部机动车维修管理规定》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驾驶培训学校质量信誉考核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《交通运输部机动车驾驶员培训管理规定》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出租汽车企业质量信誉考核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《交通运输部出租汽车服务质量信誉考核办法》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汽车租赁企业质量信誉考核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《交通运输部小微型客车租赁经营服务管理办法办法》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河道采砂监督检查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《中华人民共和国河道管理条例》第四条、第八条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对水土保持方案实施情况及水土保持设施运行情况监督检查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《中华人民共和国水土保持法》第二十九条、第四十三条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《云南省水土保持条例》第三十三条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对水利工程建设项目招标投标活动行政检查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《中华人民共和国招标投标法》第四十九条、第六十一条、第七条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《国务院办公厅印发国务院有关部门实施招标投标活动行政监督的职责分工的意见》《水利工程建设项目招标投标管理规定》（2001年水利部令第14号）第七条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对水利工程质量检测单位及其检测活动监督检查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《水利工程质量检测管理规定》第二十一条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对防汛抗洪工作的行政检查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《中华人民共和国水法》第五十九条、《中华人民共和国防洪法》第八条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对水利工程建设安全生产的行政检查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《中华人民共和国安全生产法》第五十九条、《建设工程安全生产管理条例》第四十条、《水利工程建设安全生产管理规定》第二十九条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水资源管理监督检查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法》《中华人民共和国计量法》《中华人民共和国水污染防治法》《取水许可和水资源费征收管理条例》（国务院令第460号）、《取水许可管理办法》（水利部令第34号）、《云南省取水许可和水资源费征收管理办法》（省政府令第154号）、《地下水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对单位取用水行为的行政检查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《中华人民共和国水法》第六条、第十三条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《取水许可和水资源费征收管理条例》第三十八条、第四十五条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《取水许可管理办法》第三条、第四十六条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《云南省取水许可和水资源费征收管理办法》第二条、第三条、第十三条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计划和节约用水监督检查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《水利部关于印发计划用水管理办法的通知》《云南省节约用水条例》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职业病危害因素监测、检查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《中华人民共和国职业病防治法》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公共场所监督检查、采样</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《公共场所卫生管理条例》</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每年2次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生活饮用水监督检查、采样</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《中华人民共和国传染病防治法》《生活饮用水卫生监督管理办法》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餐具饮具集中消毒单位监督检查、采样</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《中华人民共和国食品安全法》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每年2次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危险化学品生产、储存、经营、</w:t>
            </w:r>
          </w:p>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使用企业安全生产监督检查</w:t>
            </w:r>
          </w:p>
          <w:p>
            <w:pPr>
              <w:jc w:val="center"/>
              <w:rPr>
                <w:rFonts w:hint="default" w:ascii="Times New Roman" w:hAnsi="Times New Roman" w:eastAsia="方正仿宋_GBK" w:cs="Times New Roman"/>
                <w:kern w:val="2"/>
                <w:sz w:val="21"/>
                <w:szCs w:val="21"/>
                <w:lang w:val="en-US" w:eastAsia="zh-CN" w:bidi="ar-SA"/>
              </w:rPr>
            </w:pP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危险化学品安全管理条例》《易制毒化学品管理条例》《危险化学品建设项目安全监督管理办法》《危险化学品重大危险源监督管理暂行规定》《危险化学品生产企业安全生产许可证实施办法》《危险化学品经营许可证管理办法》《危险化学品安全使用许可证实施办法》《危险化学品登记管理办法》《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烟花爆竹经营企业安全生产监督检查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烟花爆竹安全管理条例》《烟花爆竹生产企业安全生产许可证实施办法》《烟花爆竹经营许可实施办法》《烟花爆竹生产经营安全规定》《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冶金、有色、建材、机械、轻工、纺织、烟草、商贸等行业安全生产监督检查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生产经营单位安全培训规定》《冶金企业和有色金属企业安全生产规定》《工贸企业有限空间作业安全管理与监督暂行规定》《安全生产事故隐患排查治理暂行规定》《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非煤矿山（含尾矿库、地质勘探、采掘施工、选矿厂）监督检查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生产许可证条例》《非煤矿矿山企业安全生产许可证实施办法》《非煤矿山外包工程安全管理暂行办法》《建设项目安全设施“三同时”监督管理办法》《金属与非金属矿产资源地质勘探安全生产监督管理暂行规定》《尾矿库安全监督管理规定》《小型露天采石场安全管理与监督检查规定》《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对生产经营单位安全生产情况</w:t>
            </w:r>
          </w:p>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监督检查</w:t>
            </w:r>
          </w:p>
          <w:p>
            <w:pPr>
              <w:jc w:val="center"/>
              <w:rPr>
                <w:rFonts w:hint="default" w:ascii="Times New Roman" w:hAnsi="Times New Roman" w:eastAsia="方正仿宋_GBK" w:cs="Times New Roman"/>
                <w:kern w:val="2"/>
                <w:sz w:val="21"/>
                <w:szCs w:val="21"/>
                <w:lang w:val="en-US" w:eastAsia="zh-CN" w:bidi="ar-SA"/>
              </w:rPr>
            </w:pP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《中华人民共和国安全生产法》《安全生产监管监察职责和行政执法责任追究的暂行规定》《安全生产年度监督监察计划编制办法》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对安全生产培训机构监督检查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《中华人民共和国安全生产法》《安全生产培训管理办法》《安全生产培训管理办法》《生产经营单位培训管理办法》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对安全评价、安全生产检测检验机构监督检查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《中华人民共和国安全生产法》《安全评价检测检验机构管理办法》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监管企业落实安全生产主体责任情况</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云南省安全生产条例》《非煤矿矿山企业安全生产许可证实施办法》《工贸企业有限空间作业安全管理与监督暂行规定》《冶金企业和有色金属企业安全生产规定》《危险化学品生产企业安全生产许可证实施办法》《安全评价检测检验机构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凤庆县广播电视局</w:t>
            </w:r>
          </w:p>
        </w:tc>
        <w:tc>
          <w:tcPr>
            <w:tcW w:w="175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对卫星地面接收设施接收外国卫星传送的电视节目的监管检查</w:t>
            </w:r>
          </w:p>
        </w:tc>
        <w:tc>
          <w:tcPr>
            <w:tcW w:w="370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《卫星地面接收设施接收外国卫星传送电视节目管理办法》（广播电影电视部、公安部、国家安全部令1990年第1号）第三条</w:t>
            </w:r>
            <w:r>
              <w:rPr>
                <w:rFonts w:hint="eastAsia" w:ascii="Times New Roman" w:hAnsi="Times New Roman" w:eastAsia="方正仿宋_GBK" w:cs="Times New Roman"/>
                <w:i w:val="0"/>
                <w:iCs w:val="0"/>
                <w:caps w:val="0"/>
                <w:color w:val="000000"/>
                <w:spacing w:val="0"/>
                <w:sz w:val="21"/>
                <w:szCs w:val="21"/>
                <w:shd w:val="clear" w:fill="FFFFFF"/>
                <w:lang w:eastAsia="zh-CN"/>
              </w:rPr>
              <w:t>，</w:t>
            </w:r>
            <w:r>
              <w:rPr>
                <w:rFonts w:hint="default" w:ascii="Times New Roman" w:hAnsi="Times New Roman" w:eastAsia="方正仿宋_GBK" w:cs="Times New Roman"/>
                <w:i w:val="0"/>
                <w:iCs w:val="0"/>
                <w:caps w:val="0"/>
                <w:color w:val="000000"/>
                <w:spacing w:val="0"/>
                <w:sz w:val="21"/>
                <w:szCs w:val="21"/>
                <w:shd w:val="clear" w:fill="FFFFFF"/>
              </w:rPr>
              <w:t>《国务院关于修改部分行政法规的决定》（国务院703号令）</w:t>
            </w:r>
            <w:r>
              <w:rPr>
                <w:rFonts w:hint="default" w:ascii="Times New Roman" w:hAnsi="Times New Roman" w:eastAsia="方正仿宋_GBK" w:cs="Times New Roman"/>
                <w:i w:val="0"/>
                <w:iCs w:val="0"/>
                <w:caps w:val="0"/>
                <w:color w:val="000000"/>
                <w:spacing w:val="0"/>
                <w:sz w:val="21"/>
                <w:szCs w:val="21"/>
                <w:shd w:val="clear" w:fill="FFFFFF"/>
                <w:lang w:eastAsia="zh-CN"/>
              </w:rPr>
              <w:t>第</w:t>
            </w:r>
            <w:r>
              <w:rPr>
                <w:rFonts w:hint="default" w:ascii="Times New Roman" w:hAnsi="Times New Roman" w:eastAsia="方正仿宋_GBK" w:cs="Times New Roman"/>
                <w:i w:val="0"/>
                <w:iCs w:val="0"/>
                <w:caps w:val="0"/>
                <w:color w:val="000000"/>
                <w:spacing w:val="0"/>
                <w:sz w:val="21"/>
                <w:szCs w:val="21"/>
                <w:shd w:val="clear" w:fill="FFFFFF"/>
              </w:rPr>
              <w:t>一</w:t>
            </w:r>
            <w:r>
              <w:rPr>
                <w:rFonts w:hint="default" w:ascii="Times New Roman" w:hAnsi="Times New Roman" w:eastAsia="方正仿宋_GBK" w:cs="Times New Roman"/>
                <w:i w:val="0"/>
                <w:iCs w:val="0"/>
                <w:caps w:val="0"/>
                <w:color w:val="000000"/>
                <w:spacing w:val="0"/>
                <w:sz w:val="21"/>
                <w:szCs w:val="21"/>
                <w:shd w:val="clear" w:fill="FFFFFF"/>
                <w:lang w:eastAsia="zh-CN"/>
              </w:rPr>
              <w:t>条</w:t>
            </w:r>
            <w:r>
              <w:rPr>
                <w:rFonts w:hint="default" w:ascii="Times New Roman" w:hAnsi="Times New Roman" w:eastAsia="方正仿宋_GBK" w:cs="Times New Roman"/>
                <w:i w:val="0"/>
                <w:iCs w:val="0"/>
                <w:caps w:val="0"/>
                <w:color w:val="000000"/>
                <w:spacing w:val="0"/>
                <w:sz w:val="21"/>
                <w:szCs w:val="21"/>
                <w:shd w:val="clear" w:fill="FFFFFF"/>
              </w:rPr>
              <w:t>、第十条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000000"/>
                <w:spacing w:val="0"/>
                <w:sz w:val="21"/>
                <w:szCs w:val="21"/>
                <w:shd w:val="clear" w:fill="FFFFFF"/>
                <w:lang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每季度一次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凤庆县广播电视局</w:t>
            </w:r>
          </w:p>
        </w:tc>
        <w:tc>
          <w:tcPr>
            <w:tcW w:w="175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对卫星地面接收设施的生产、销售、使用情况的检查</w:t>
            </w:r>
          </w:p>
        </w:tc>
        <w:tc>
          <w:tcPr>
            <w:tcW w:w="370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《卫星电视广播地面接收设施安装服务暂行办法》（国家广播电影电视总局令2009年第60号发布，2021年国家广电总局令第10号修正）第三条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000000"/>
                <w:spacing w:val="0"/>
                <w:sz w:val="21"/>
                <w:szCs w:val="21"/>
                <w:shd w:val="clear" w:fill="FFFFFF"/>
                <w:lang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每季度一次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凤庆县林业和草原局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森林草原防火督查检查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《森林防火条例》《草原防火条例》《云南省森林防火条例》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凤庆县林业和草原局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对林草植物及其产品的检验检疫(产地检疫、调运检疫、复检)</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《植物检疫条例实施细则(林业部分)》</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凤庆县林业和草原局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林木良种培育补贴检查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《中华人民共和国种子法》《中央财政林业补助资金管理办法》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3</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县统计局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统计数据核查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《中华人民共和国统计法》《统计执法监督检查办法》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县统计局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统计执法监督检查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《中华人民共和国统计法实施条例》《统计执法监督检查办法》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县第五次全国经济普查领导小组办公室</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经济普查数据质量检查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《中华人民共和国统计法实施条例》《全国经济普查条例》</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药品集中采购配送管理考核</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《临沧市医疗保障局 临沧市卫生健康委员会 临沧市市场监督管理局 临沧市政务服务管理局关于进一步加强药品集中采购配送管理工作的通知》（临医保联发〔2020〕31号）、《临沧市药品集中采购配送管理考核制度（试行）》</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基本医疗保障定点医疗机构、零售药店年检考核</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《临沧市医疗保障定点医疗机构、零售药店服务协议》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两定医疗机构日常检查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《临沧市医疗保障定点医疗机构、零售药店服务协议》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每年一次以上</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基本医疗保障定点医疗机构、零售药店准入评估</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《医疗机构医疗保障定点管理暂行办法、零售药店医疗保障定点管理暂行办法》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每年一次以上</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0</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对定点医药机构使用医疗保障基金情况监督检查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《中华人民共和国社会保险法》《中华人民共和国基本医疗卫生与健康促进法》《医疗保障基金使用监督管理条例》</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1</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公众聚集场所在投入使用、营业前的消防安全检查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《中华人民共和国消防法》《云南省消防条例》《云南省单位消防安全管理规定》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2</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消防安全专项整治（考核、督导）</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根据火灾形势需要和国务院安全生产委员会（办公室）、应急管理部消防救援局和省人民政府、省安全生产委员会（办公室、省消防安全委员会（办公室）以及省消防救援总队等有关行业部署的消防安全专项整治（考核、督导）工作，对有关社会单位开展消防安全排查、检查、考核验收及督导。</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3</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重要节事活动消防安全安保</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根据省委、省政府关于每年春节、元宵节、国庆节等重要节日和在省内举办的重大活动安全工作要求，对涉及活动场所、社会面有关单位等开展消防安全排查、检查及督查。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消防产品监督检查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《消防产品监督检查管理规定》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消防技术服务机构专项检查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《中华人民共和国消防法》《社会消防技术服务管理规定》《注册消防工程师管理规定》。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火灾隐患举报投诉核查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《中共中央办公厅、国务院办公厅印发＜关于深化消防执法改革的意见＞的通知（厅字〔2019〕34号》《消防救援局关于印发＜消防安全违法行为举报投诉奖励规定＞的通知》（应急消〔2019〕162号）</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对互联网上网服务场所的经营活动及管理开展检查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《互联网上网服务营业场所管理条例》《互联网文化管理暂行规定》</w:t>
            </w:r>
          </w:p>
        </w:tc>
        <w:tc>
          <w:tcPr>
            <w:tcW w:w="1590"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对娱乐场所经营活动及管理行为开展检查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《娱乐场所管理条例》《娱乐场所管理办法》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对旅行社及分支机构经营活动及管理行为开展检查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《中华人民共和国旅游法》、《旅行社条例》及实施细则，《云南省旅游条例》《旅游安全管理办法》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100</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对导游人员职业行为开展检查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《中华人民共和国旅游法》《导游人员管理条例》《导游管理办法》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101</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对营业性演出活动开展检查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《营业性演出管理条例》</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102</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保安企业年度测评</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《保安服务管理条例》第三十六条第二款；《公安机关保安服务管理条例办法》第三十五条、第三十七条、第四十条</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eastAsia"/>
                <w:lang w:val="en-US" w:eastAsia="zh-CN"/>
              </w:rPr>
            </w:pPr>
            <w:r>
              <w:rPr>
                <w:rFonts w:hint="eastAsia"/>
                <w:lang w:val="en-US" w:eastAsia="zh-CN"/>
              </w:rPr>
              <w:t>103</w:t>
            </w:r>
          </w:p>
          <w:p>
            <w:pPr>
              <w:pStyle w:val="2"/>
              <w:rPr>
                <w:rFonts w:hint="default"/>
                <w:lang w:val="en-US" w:eastAsia="zh-CN"/>
              </w:rPr>
            </w:pP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保安从业单位相关检查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《保安服务管理条例》《保安守护押运公司管理规定》</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一月一次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大型群众性活动安全检查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《中华人民共和国消防法》《大型群众性活动安全管理条例》</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金融机构营业场所和金库安全防范设施安全检查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《国务院对确需保留的行政审批项目设定行政许可的决定》《金融机构营业场所和金库安全防范设施建设许可实施办法》《云南省人民政府关于简政放权取消和调整部分省级行政审批项目的决定》</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对宾馆、旅店监督抽查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《中华人民共和国人民警察法》《旅店业治安管理办法》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随时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焰火燃放作业监督检查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《烟花爆竹安全管理条例》《公安部办公厅关于贯彻执行〈大型焰火燃放作业人员资格条件及管理〉和〈大型焰火燃放作业单位资质条件及管理〉有关事项的通知》</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民用爆炸物品使用监督监督</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《民用爆炸物品安全管理条例》《民用爆炸物品储存库治安防范要求（GA837-2009）》《爆破作业单位资质条件和管理要求》（GA 990-2012）</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机动车驾驶人考场管理</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《公安部交管局关于推进落实机动车登记查验和驾驶人考试集中整治工作的通知》《云南省公安厅交通警察总队关于传发云南省机动车登记查验和驾驶人考试集中整治工作的通知》</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一月一次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110</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易制毒化学品监督管理</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《易制毒化学品管理条例》《易制毒化学品购销和运输管理办法》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111</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县属国有企业经营营业业绩考核</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《凤庆县县属企业负责人经营业绩考核薪酬管理办法（试行）》</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112</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对县属国有企业开展常态化监督</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《中华人民共和国企业国有资产法》 《企业国有资产监督管理暂行条例》</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113</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云南省小额贷款公司监管分类评级</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《云南省小额贷款公司管理办法》第四十四条、《云南省地方金融监督管理局关于进一步加强小额贷款公司监督管理的通知》《云南省小额贷款公司分类评级办法》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融资担保公司分类监管评级</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《融资担保公司监督管理条例》（国务院令第683号）第二十五条、《云南省融资担保公司分类监管评级办法（试行）》</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融资担保公司监管检查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《融资担保公司监督管理条例》（国务院令第683号）第二十四条、《云南省融资担保公司监督管理实施细则》</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典当行年审</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《中国银保监会办公厅关于加强典当行监督管理的通知》</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典当行监管检查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《典当管理办法》第五十四条、《典当行业监管规定》</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ind w:firstLine="210" w:firstLineChars="100"/>
              <w:jc w:val="both"/>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凤庆县市场监督管理局</w:t>
            </w:r>
          </w:p>
        </w:tc>
        <w:tc>
          <w:tcPr>
            <w:tcW w:w="175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医疗器械经营使用单位监督检查</w:t>
            </w:r>
          </w:p>
        </w:tc>
        <w:tc>
          <w:tcPr>
            <w:tcW w:w="370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《医疗器械监督管理条例》</w:t>
            </w:r>
          </w:p>
        </w:tc>
        <w:tc>
          <w:tcPr>
            <w:tcW w:w="159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119</w:t>
            </w:r>
          </w:p>
        </w:tc>
        <w:tc>
          <w:tcPr>
            <w:tcW w:w="1694" w:type="dxa"/>
            <w:vAlign w:val="top"/>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凤庆县市场监督管理局</w:t>
            </w:r>
          </w:p>
        </w:tc>
        <w:tc>
          <w:tcPr>
            <w:tcW w:w="175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对食品生产、经营，企业食品安全管理人员实施监督抽考</w:t>
            </w:r>
          </w:p>
        </w:tc>
        <w:tc>
          <w:tcPr>
            <w:tcW w:w="370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企业落实食品安全主体责任监督管理规定》（市场监管总局令第60号）、市场监管总局关于发布《企业食品安全管理人员监督抽查考核指南》《企业食品安全管理人员监督抽查考核大纲》的公告（国家市场监管总局公告2024年第4号）</w:t>
            </w:r>
          </w:p>
        </w:tc>
        <w:tc>
          <w:tcPr>
            <w:tcW w:w="159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FF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120</w:t>
            </w:r>
          </w:p>
        </w:tc>
        <w:tc>
          <w:tcPr>
            <w:tcW w:w="1694" w:type="dxa"/>
            <w:vAlign w:val="top"/>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凤庆县市场监督管理局</w:t>
            </w:r>
          </w:p>
        </w:tc>
        <w:tc>
          <w:tcPr>
            <w:tcW w:w="175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药品经营和使用单位监督检查</w:t>
            </w:r>
          </w:p>
        </w:tc>
        <w:tc>
          <w:tcPr>
            <w:tcW w:w="370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《中华人民共和国药品管理法》《药品经营和使用质量监督管理办法》</w:t>
            </w:r>
          </w:p>
        </w:tc>
        <w:tc>
          <w:tcPr>
            <w:tcW w:w="15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480" w:beforeAutospacing="0" w:after="0" w:afterAutospacing="0" w:line="160" w:lineRule="exact"/>
              <w:ind w:left="0" w:right="0"/>
              <w:jc w:val="center"/>
              <w:textAlignment w:val="auto"/>
              <w:rPr>
                <w:rFonts w:hint="default" w:ascii="Times New Roman" w:hAnsi="Times New Roman" w:eastAsia="方正仿宋_GBK" w:cs="Times New Roman"/>
                <w:i w:val="0"/>
                <w:iCs w:val="0"/>
                <w:caps w:val="0"/>
                <w:color w:val="222222"/>
                <w:spacing w:val="0"/>
                <w:sz w:val="13"/>
                <w:szCs w:val="13"/>
              </w:rPr>
            </w:pPr>
            <w:r>
              <w:rPr>
                <w:rFonts w:hint="default" w:ascii="Times New Roman" w:hAnsi="Times New Roman" w:eastAsia="方正仿宋_GBK" w:cs="Times New Roman"/>
                <w:i w:val="0"/>
                <w:iCs w:val="0"/>
                <w:caps w:val="0"/>
                <w:color w:val="222222"/>
                <w:spacing w:val="0"/>
                <w:kern w:val="0"/>
                <w:sz w:val="13"/>
                <w:szCs w:val="13"/>
                <w:shd w:val="clear" w:color="auto" w:fill="FFFFFF"/>
                <w:lang w:val="en-US" w:eastAsia="zh-CN" w:bidi="ar"/>
              </w:rPr>
              <w:t>（一）对麻醉药品和第一类精神药品、药品类易制毒化学品经营企业检查，每半年不少于一次；（二）对冷藏冷冻药品、血液制品、细胞治疗类生物制品、第二类精神药品、医疗用毒性药品经营企业检查，每年不少于一次；（三）对第一项、第二项以外的药品经营企业，每年确定一定比例开展药品经营质量管理规范符合性检查，三年内对本行政区域内药品经营企业全部进行检查；（四）对接收、储存疫苗的疾病预防控制机构、接种单位执行疫苗储存和运输管理规范情况进行检查，原则上每年不少于一次；（五）每年确定一定比例医疗机构，对其购进、验收、储存药品管理情况进行检查，三年内对行政区域内医疗机构全部进行检查。</w:t>
            </w:r>
          </w:p>
          <w:p>
            <w:pPr>
              <w:keepNext w:val="0"/>
              <w:keepLines w:val="0"/>
              <w:widowControl/>
              <w:suppressLineNumbers w:val="0"/>
              <w:jc w:val="center"/>
              <w:textAlignment w:val="center"/>
              <w:rPr>
                <w:rFonts w:hint="default" w:ascii="Times New Roman" w:hAnsi="Times New Roman" w:eastAsia="方正仿宋_GBK" w:cs="Times New Roman"/>
                <w:i w:val="0"/>
                <w:color w:val="FF0000"/>
                <w:kern w:val="0"/>
                <w:sz w:val="21"/>
                <w:szCs w:val="21"/>
                <w:u w:val="none"/>
                <w:lang w:val="en-US" w:eastAsia="zh-CN" w:bidi="ar"/>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bl>
    <w:p>
      <w:pPr>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1DEC"/>
    <w:rsid w:val="00570F2A"/>
    <w:rsid w:val="0091698A"/>
    <w:rsid w:val="04493DD1"/>
    <w:rsid w:val="0AB50643"/>
    <w:rsid w:val="0DD86D92"/>
    <w:rsid w:val="0DF820AA"/>
    <w:rsid w:val="0E4B3E4A"/>
    <w:rsid w:val="1CDC102D"/>
    <w:rsid w:val="1EFA2FAF"/>
    <w:rsid w:val="23C07B68"/>
    <w:rsid w:val="27095C16"/>
    <w:rsid w:val="2C94067B"/>
    <w:rsid w:val="2E317461"/>
    <w:rsid w:val="31100FD8"/>
    <w:rsid w:val="314F6131"/>
    <w:rsid w:val="330338E3"/>
    <w:rsid w:val="372754A3"/>
    <w:rsid w:val="387C5AD4"/>
    <w:rsid w:val="39684ADF"/>
    <w:rsid w:val="39D55711"/>
    <w:rsid w:val="3A547AEA"/>
    <w:rsid w:val="3CC7718A"/>
    <w:rsid w:val="3F4959F8"/>
    <w:rsid w:val="446678BA"/>
    <w:rsid w:val="46D40A25"/>
    <w:rsid w:val="49644418"/>
    <w:rsid w:val="4AAA1CCB"/>
    <w:rsid w:val="4C236B42"/>
    <w:rsid w:val="4C65652A"/>
    <w:rsid w:val="565753EF"/>
    <w:rsid w:val="5E450ED6"/>
    <w:rsid w:val="63832CC4"/>
    <w:rsid w:val="69151367"/>
    <w:rsid w:val="69C3500D"/>
    <w:rsid w:val="6BAD4CEE"/>
    <w:rsid w:val="6E920FED"/>
    <w:rsid w:val="6FD912ED"/>
    <w:rsid w:val="70D6148C"/>
    <w:rsid w:val="727C342A"/>
    <w:rsid w:val="72C54D06"/>
    <w:rsid w:val="76B45125"/>
    <w:rsid w:val="7B9B11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Table Paragraph"/>
    <w:basedOn w:val="1"/>
    <w:qFormat/>
    <w:uiPriority w:val="1"/>
    <w:rPr>
      <w:rFonts w:ascii="宋体" w:hAnsi="宋体" w:eastAsia="宋体" w:cs="宋体"/>
    </w:r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2024-06-18T02:51:00Z</dcterms:created>
  <dc:creator>mhdn</dc:creator>
  <cp:lastModifiedBy>MHDN23</cp:lastModifiedBy>
  <cp:lastPrinted>2024-06-20T07:58:00Z</cp:lastPrinted>
  <dcterms:modified xsi:type="dcterms:W3CDTF">2024-06-25T00:59:49Z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