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717"/>
        <w:tblOverlap w:val="never"/>
        <w:tblW w:w="15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66"/>
        <w:gridCol w:w="1513"/>
        <w:gridCol w:w="4120"/>
        <w:gridCol w:w="1485"/>
        <w:gridCol w:w="1641"/>
        <w:gridCol w:w="1648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移交赋权事项目录（行政处罚）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赋权方式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对未经批准进行临时建设的处罚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凤庆县郭大寨彝族白族乡人民政府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对未按照批准内容进行临时建设的处罚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凤庆县郭大寨彝族白族乡人民政府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对临时建筑物、构筑物超过批准期限不拆除的处罚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凤庆县郭大寨彝族白族乡人民政府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jA5MTA3ZmQyNmEwYzRlNjk1ZWIwZWNiZTY0NzEifQ=="/>
  </w:docVars>
  <w:rsids>
    <w:rsidRoot w:val="00544C36"/>
    <w:rsid w:val="0054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2024-01-03T08:04:00Z</dcterms:created>
  <dc:creator>杨照舒</dc:creator>
  <cp:lastModifiedBy>杨照舒</cp:lastModifiedBy>
  <dcterms:modified xsi:type="dcterms:W3CDTF">2024-01-03T08:05:00Z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A0A87C46E6A144819A811AB04A703F00_11</vt:lpwstr>
  </property>
</Properties>
</file>