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after="156" w:afterLines="50" w:line="420" w:lineRule="exact"/>
        <w:ind w:left="0" w:leftChars="0" w:right="0" w:rightChars="0"/>
        <w:jc w:val="center"/>
        <w:textAlignment w:val="auto"/>
        <w:outlineLvl w:val="0"/>
        <w:rPr>
          <w:rFonts w:hint="eastAsia" w:ascii="方正小标宋简体" w:hAnsi="方正小标宋简体" w:eastAsia="方正小标宋简体" w:cs="方正小标宋简体"/>
          <w:b w:val="0"/>
          <w:bCs w:val="0"/>
          <w:strike w:val="0"/>
          <w:dstrike w:val="0"/>
          <w:color w:val="auto"/>
          <w:sz w:val="40"/>
          <w:szCs w:val="40"/>
        </w:rPr>
      </w:pPr>
      <w:r>
        <w:rPr>
          <w:rFonts w:hint="eastAsia" w:ascii="方正小标宋简体" w:hAnsi="方正小标宋简体" w:eastAsia="方正小标宋简体" w:cs="方正小标宋简体"/>
          <w:b w:val="0"/>
          <w:bCs w:val="0"/>
          <w:strike w:val="0"/>
          <w:dstrike w:val="0"/>
          <w:color w:val="auto"/>
          <w:sz w:val="40"/>
          <w:szCs w:val="40"/>
        </w:rPr>
        <w:t>食品经营许可实施规范</w:t>
      </w:r>
    </w:p>
    <w:p>
      <w:pPr>
        <w:keepNext w:val="0"/>
        <w:keepLines w:val="0"/>
        <w:pageBreakBefore w:val="0"/>
        <w:widowControl w:val="0"/>
        <w:kinsoku/>
        <w:wordWrap/>
        <w:overflowPunct/>
        <w:topLinePunct w:val="0"/>
        <w:autoSpaceDE/>
        <w:autoSpaceDN/>
        <w:bidi w:val="0"/>
        <w:adjustRightInd/>
        <w:snapToGrid/>
        <w:spacing w:after="156" w:afterLines="50" w:line="420" w:lineRule="exact"/>
        <w:ind w:left="0" w:leftChars="0" w:right="0" w:rightChars="0"/>
        <w:jc w:val="center"/>
        <w:textAlignment w:val="auto"/>
        <w:outlineLvl w:val="0"/>
        <w:rPr>
          <w:rFonts w:hint="eastAsia" w:ascii="方正小标宋简体" w:hAnsi="方正小标宋简体" w:eastAsia="方正小标宋简体" w:cs="方正小标宋简体"/>
          <w:b w:val="0"/>
          <w:bCs w:val="0"/>
          <w:strike w:val="0"/>
          <w:dstrike w:val="0"/>
          <w:color w:val="auto"/>
          <w:sz w:val="40"/>
          <w:szCs w:val="40"/>
        </w:rPr>
      </w:pPr>
      <w:r>
        <w:rPr>
          <w:rFonts w:hint="eastAsia" w:ascii="方正小标宋简体" w:hAnsi="方正小标宋简体" w:eastAsia="方正小标宋简体" w:cs="方正小标宋简体"/>
          <w:b w:val="0"/>
          <w:bCs w:val="0"/>
          <w:strike w:val="0"/>
          <w:dstrike w:val="0"/>
          <w:color w:val="auto"/>
          <w:sz w:val="40"/>
          <w:szCs w:val="40"/>
        </w:rPr>
        <w:t>（基本要素）</w:t>
      </w:r>
    </w:p>
    <w:p>
      <w:pPr>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凤庆县市场监管局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凤庆县市场监管部门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《中华人民共和国食品安全法》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食品经营许可（县级权限）</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楷体_GB2312" w:hAnsi="楷体_GB2312" w:eastAsia="楷体_GB2312" w:cs="楷体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4.3　食品经营许可（县级权限）</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【000131104003】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行政许可事项名称</w:t>
      </w:r>
      <w:r>
        <w:rPr>
          <w:rFonts w:hint="eastAsia" w:ascii="楷体_GB2312" w:hAnsi="楷体_GB2312" w:eastAsia="楷体_GB2312" w:cs="楷体_GB2312"/>
          <w:b w:val="0"/>
          <w:bCs w:val="0"/>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rPr>
      </w:pPr>
      <w:r>
        <w:rPr>
          <w:rFonts w:hint="eastAsia" w:ascii="仿宋_GB2312" w:hAnsi="仿宋_GB2312" w:eastAsia="仿宋_GB2312" w:cs="仿宋_GB2312"/>
          <w:b w:val="0"/>
          <w:bCs w:val="0"/>
          <w:strike w:val="0"/>
          <w:dstrike w:val="0"/>
          <w:color w:val="auto"/>
          <w:sz w:val="32"/>
          <w:szCs w:val="32"/>
          <w:lang w:val="en-US"/>
        </w:rPr>
        <w:t>食品经营许可【00013110400Y】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行政许可</w:t>
      </w:r>
      <w:r>
        <w:rPr>
          <w:rFonts w:hint="eastAsia" w:ascii="楷体_GB2312" w:hAnsi="楷体_GB2312" w:eastAsia="楷体_GB2312" w:cs="楷体_GB2312"/>
          <w:b w:val="0"/>
          <w:bCs w:val="0"/>
          <w:sz w:val="32"/>
          <w:szCs w:val="32"/>
          <w:lang w:val="en-US" w:eastAsia="zh-CN"/>
        </w:rPr>
        <w:t>事项</w:t>
      </w:r>
      <w:r>
        <w:rPr>
          <w:rFonts w:hint="eastAsia" w:ascii="仿宋_GB2312" w:hAnsi="仿宋_GB2312" w:eastAsia="仿宋_GB2312" w:cs="仿宋_GB2312"/>
          <w:strike w:val="0"/>
          <w:dstrike w:val="0"/>
          <w:color w:val="auto"/>
          <w:sz w:val="32"/>
          <w:szCs w:val="32"/>
          <w:lang w:val="en-US" w:eastAsia="zh-CN"/>
        </w:rPr>
        <w:t>子项</w:t>
      </w:r>
      <w:r>
        <w:rPr>
          <w:rFonts w:hint="eastAsia" w:ascii="楷体_GB2312" w:hAnsi="楷体_GB2312" w:eastAsia="楷体_GB2312" w:cs="楷体_GB2312"/>
          <w:b w:val="0"/>
          <w:bCs w:val="0"/>
          <w:sz w:val="32"/>
          <w:szCs w:val="32"/>
          <w:lang w:val="en-US" w:eastAsia="zh-CN"/>
        </w:rPr>
        <w:t>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rPr>
        <w:t>食品经营许可（县级权限）【000131104003】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食品经营许可审批（县级权限）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《中华人民共和国食品安全法》第三十五条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《中华人民共和国食品安全法》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（1）《中华人民共和国食品安全法》全文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（2）《中华人民共和国食品安全法实施条例》全文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（3）《食品经营许可管理办法》全文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strike w:val="0"/>
          <w:dstrike w:val="0"/>
          <w:color w:val="auto"/>
          <w:sz w:val="28"/>
          <w:szCs w:val="28"/>
          <w:lang w:val="en-US"/>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实施机关</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县(区)市场监管部门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审批层级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rPr>
      </w:pPr>
      <w:r>
        <w:rPr>
          <w:rFonts w:hint="eastAsia" w:ascii="楷体_GB2312" w:hAnsi="楷体_GB2312" w:eastAsia="楷体_GB2312" w:cs="楷体_GB2312"/>
          <w:b w:val="0"/>
          <w:bCs w:val="0"/>
          <w:sz w:val="32"/>
          <w:szCs w:val="32"/>
          <w:lang w:val="en-US" w:eastAsia="zh-CN"/>
        </w:rPr>
        <w:t>（九）行使</w:t>
      </w:r>
      <w:r>
        <w:rPr>
          <w:rFonts w:hint="default" w:ascii="楷体_GB2312" w:hAnsi="楷体_GB2312" w:eastAsia="楷体_GB2312" w:cs="楷体_GB2312"/>
          <w:b w:val="0"/>
          <w:bCs w:val="0"/>
          <w:sz w:val="32"/>
          <w:szCs w:val="32"/>
          <w:lang w:val="en-US" w:eastAsia="zh-CN"/>
        </w:rPr>
        <w:t>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是否由审批机关受理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w:t>
      </w:r>
      <w:r>
        <w:rPr>
          <w:rFonts w:hint="default" w:ascii="楷体_GB2312" w:hAnsi="楷体_GB2312" w:eastAsia="楷体_GB2312" w:cs="楷体_GB2312"/>
          <w:b w:val="0"/>
          <w:bCs w:val="0"/>
          <w:sz w:val="32"/>
          <w:szCs w:val="32"/>
          <w:lang w:val="en-US" w:eastAsia="zh-CN"/>
        </w:rPr>
        <w:t>受理层级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（十二）</w:t>
      </w:r>
      <w:r>
        <w:rPr>
          <w:rFonts w:hint="default" w:ascii="楷体_GB2312" w:hAnsi="楷体_GB2312" w:eastAsia="楷体_GB2312" w:cs="楷体_GB2312"/>
          <w:b w:val="0"/>
          <w:bCs w:val="0"/>
          <w:sz w:val="32"/>
          <w:szCs w:val="32"/>
          <w:lang w:val="en-US" w:eastAsia="zh-CN"/>
        </w:rPr>
        <w:t>是否存在初审环节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（十三）</w:t>
      </w:r>
      <w:r>
        <w:rPr>
          <w:rFonts w:hint="default" w:ascii="楷体_GB2312" w:hAnsi="楷体_GB2312" w:eastAsia="楷体_GB2312" w:cs="楷体_GB2312"/>
          <w:b w:val="0"/>
          <w:bCs w:val="0"/>
          <w:sz w:val="32"/>
          <w:szCs w:val="32"/>
          <w:lang w:val="en-US" w:eastAsia="zh-CN"/>
        </w:rPr>
        <w:t>初审层级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（十四）</w:t>
      </w:r>
      <w:r>
        <w:rPr>
          <w:rFonts w:hint="default" w:ascii="楷体_GB2312" w:hAnsi="楷体_GB2312" w:eastAsia="楷体_GB2312" w:cs="楷体_GB2312"/>
          <w:b w:val="0"/>
          <w:bCs w:val="0"/>
          <w:sz w:val="32"/>
          <w:szCs w:val="32"/>
          <w:lang w:val="en-US" w:eastAsia="zh-CN"/>
        </w:rPr>
        <w:t>对应政务服务事项国家级基本目录名称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食品（含保健食品）经营许可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（十五）要素统一情况：</w:t>
      </w:r>
      <w:r>
        <w:rPr>
          <w:rFonts w:hint="eastAsia" w:ascii="仿宋_GB2312" w:hAnsi="仿宋_GB2312" w:eastAsia="仿宋_GB2312" w:cs="仿宋_GB2312"/>
          <w:b w:val="0"/>
          <w:bCs w:val="0"/>
          <w:strike w:val="0"/>
          <w:dstrike w:val="0"/>
          <w:color w:val="auto"/>
          <w:sz w:val="32"/>
          <w:szCs w:val="32"/>
          <w:lang w:val="en-US"/>
        </w:rPr>
        <w:t>全部要素全国统一</w:t>
      </w:r>
    </w:p>
    <w:p>
      <w:pPr>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1.《中华人民共和国食品安全法》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第十一条　申请食品经营许可，应当符合下列条件：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（二）具有与经营的食品品种、数量相适应的经营设备或者设施，有相应的消毒、更衣、盥洗、采光、照明、通风、防腐、防尘、防蝇、防鼠、防虫、洗涤以及处理废水、存放垃圾和废弃物的设备或者设施；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（三）有专职或者兼职的食品安全管理人员和保证食品安全的规章制度；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（四）具有合理的设备布局和工艺流程，防止待加工食品与直接入口食品、原料与成品交叉污染，避免食品接触有毒物、不洁物。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个体工商户，企业法人，事业单位法人，社会组织法人，非法人企业，行政机关，其他组织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b w:val="0"/>
          <w:bCs w:val="0"/>
          <w:strike w:val="0"/>
          <w:dstrike w:val="0"/>
          <w:color w:val="auto"/>
          <w:sz w:val="32"/>
          <w:szCs w:val="32"/>
          <w:lang w:val="en-US" w:eastAsia="zh-CN"/>
        </w:rPr>
        <w:t>食品经营许可（设县的县级权限）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（四）许可证件名称：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审批改为备案，优化审批服务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1.审批改为备案：根据《中华人民共和国食品安全法》第三十五条 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1）严格执行有关法律法规和标准，发挥网格化管理的优势，发现违法违规行为要依法严查重处并公开结果。（2）加强信用监管，依法向社会公布食品经营企业信用状况，依法依规对失信主体开展联合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b/>
          <w:bCs/>
          <w:sz w:val="28"/>
          <w:szCs w:val="28"/>
        </w:rPr>
      </w:pPr>
      <w:r>
        <w:rPr>
          <w:rFonts w:hint="eastAsia" w:ascii="方正黑体_GBK" w:hAnsi="方正黑体_GBK" w:eastAsia="方正黑体_GBK" w:cs="方正黑体_GBK"/>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1.《食品经营许可证》申请书；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6.申请人委托他人办理食品经营许可申请的，代理人应当提交授权委托书以及代理人的身份证明文件。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default"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1"/>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（2）受理机构受理/不予受理；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（3）现场审查；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（4）审批机构决定核发许可证/不予核发许可证。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申请人委托他人办理食品经营许可申请的，代理人应当提交授权委托书以及代理人的身份证明文件。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第十四条　县级以上地方市场监督管理部门对申请人提出的食品经营许可申请，应当根据下列情况分别作出处理：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（1）申请事项依法不需要取得食品经营许可的，应当即时告知申请人不受理。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（2）申请事项依法不属于市场监督管理部门职权范围的，应当即时作出不予受理的决定，并告知申请人向有关行政机关申请。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（3）申请材料存在可以当场更正的错误的，应当允许申请人当场更正，由申请人在更正处签名或者盖章，注明更正日期。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（5）申请材料齐全、符合法定形式，或者申请人按照要求提交全部补正材料的，应当受理食品经营许可申请。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现场核查应当由符合要求的核查人员进行。核查人员不得少于2人。核查人员应当出示有效证件，填写食品经营许可现场核查表，制作现场核查记录，经申请人核对无误后，由核查人员和申请人在核查表和记录上签名或者盖章。申请人拒绝签名或者盖章的，核查人员应当注明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市场监督管理部门可以委托下级市场监督管理部门，对受理的食品经营许可申请进行现场核查。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核查人员应当自接受现场核查任务之日起10个工作日内，完成对经营场所的现场核查。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申请行政复议或者提起行政诉讼的权利。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8.《食品经营许可管理办法》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第二十条　县级以上地方市场监督管理部门认为食品经营许可申请涉及公共利益的重大事项，需要听证的，应当向社会公告并举行听证。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9.《食品经营许可管理办法》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第二十一条　食品经营许可直接涉及申请人与他人之间重大利益关系的，县级以上地方市场监督管理部门在作出行政许可决定前，应当告知申请人、利害关系人享有要求听证的权利。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申请人、利害关系人在被告知听证权利之日起5个工作日内提出听证申请的，市场监督管理部门应当在20个工作日内组织听证。听证期限不计算在行政许可审查期限之内。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w:t>
      </w:r>
      <w:r>
        <w:rPr>
          <w:rFonts w:hint="eastAsia" w:ascii="仿宋_GB2312" w:hAnsi="仿宋_GB2312" w:eastAsia="仿宋_GB2312" w:cs="仿宋_GB2312"/>
          <w:b w:val="0"/>
          <w:bCs w:val="0"/>
          <w:strike w:val="0"/>
          <w:dstrike w:val="0"/>
          <w:color w:val="auto"/>
          <w:sz w:val="32"/>
          <w:szCs w:val="32"/>
          <w:lang w:val="en" w:eastAsia="zh-CN"/>
        </w:rPr>
        <w:t>5</w:t>
      </w:r>
      <w:r>
        <w:rPr>
          <w:rFonts w:hint="eastAsia" w:ascii="仿宋_GB2312" w:hAnsi="仿宋_GB2312" w:eastAsia="仿宋_GB2312" w:cs="仿宋_GB2312"/>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（一）办理行政许可是否收费：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第十九条　食品经营许可证发证日期为许可决定作出的日期，有效期为5年。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第二十七条　食品经营许可证载明的许可事项发生变化的，食品经营者应当在变化后10个工作日内向原发证的食品药品监督管理部门申请变更经营许可。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经营场所发生变化的，应当重新申请食品经营许可。外设仓库地址发生变化的，食品经营者应当在变化后10个工作日内向原发证的食品药品监督管理部门报告。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第二十八条　申请变更食品经营许可的，应当提交下列申请材料：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（一）食品经营许可变更申请书；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sz w:val="28"/>
          <w:szCs w:val="28"/>
        </w:rPr>
      </w:pPr>
      <w:r>
        <w:rPr>
          <w:rFonts w:hint="eastAsia" w:ascii="仿宋_GB2312" w:hAnsi="仿宋_GB2312" w:eastAsia="仿宋_GB2312" w:cs="仿宋_GB2312"/>
          <w:b w:val="0"/>
          <w:bCs w:val="0"/>
          <w:strike w:val="0"/>
          <w:dstrike w:val="0"/>
          <w:color w:val="auto"/>
          <w:sz w:val="32"/>
          <w:szCs w:val="32"/>
          <w:lang w:val="en-US" w:eastAsia="zh-CN"/>
        </w:rPr>
        <w:t>（三）与变更食品经营许可事项有关的其他材料。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（四）是否需要办理审批结果延续手续：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（五）办理审批结果延续手续的依据：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第二十九条　食品经营者需要延续依法取得的食品经营许可的有效期的，应当在该食品经营许可有效期届满30个工作日前，向原发证的食品药品监督管理部门提出申请。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第三十条　食品经营者申请延续食品经营许可，应当提交下列材料：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（一）食品经营许可延续申请书；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（三）与延续食品经营许可事项有关的其他材料。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第二条　在中华人民共和国境内，从事食品销售和餐饮服务活动，应当依法取得食品经营许可。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享有申请行政复议或者提起行政诉讼的权利。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1.《中华人民共和国食品安全法》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并书面说明理由。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第十一条　申请食品经营许可，应当符合下列条件：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（二）具有与经营的食品品种、数量相适应的经营设备或者设施，有相应的消毒、更衣、盥洗、采光、照明、通风、防腐、防尘、防蝇、防鼠、防虫、洗涤以及处理废水、存放垃圾和废弃物的设备或者设施；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（三）有专职或者兼职的食品安全管理人员和保证食品安全的规章制度；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（四）具有合理的设备布局和工艺流程，防止待加工食品与直接入口食品、原料与成品交叉污染，避免食品接触有毒物、不洁物。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个体工商户，企业法人，事业单位法人，社会组织法人，非法人企业，行政机关，其他组织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28"/>
          <w:szCs w:val="28"/>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b w:val="0"/>
          <w:bCs w:val="0"/>
          <w:strike w:val="0"/>
          <w:dstrike w:val="0"/>
          <w:color w:val="auto"/>
          <w:sz w:val="32"/>
          <w:szCs w:val="32"/>
          <w:lang w:val="en-US" w:eastAsia="zh-CN"/>
        </w:rPr>
        <w:t>食品经营许可（县级权限）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（四）许可证件名称：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28"/>
          <w:szCs w:val="28"/>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审批改为备案，优化审批服务</w:t>
      </w:r>
    </w:p>
    <w:p>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1.审批改为备案：根据《中华人民共和国食品安全法》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①对备案企业加强监督检查，重点检查备案信息与实际情况是否相符、备案企业是否经营预包装食品以外的其他食品，依法严厉打击违规经营行为。②加强食品销售风险分级管理和信用监管，将虚假备案、违规经营等信息记入企业食品安全信用记录，依法依规对失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主体开展失信惩戒，依法查处违法违规行为。③畅通投诉举报渠道，强化社会监督。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①严格执行有关法律法规和标准，发挥网格化管理的优势，发现违法违规行为要依法严查重处并公开结果。②加强信用监管，依法向社会公布食品经营企业信用状况，依法依规对失信主体开展联合惩戒</w:t>
      </w:r>
      <w:r>
        <w:rPr>
          <w:rFonts w:hint="eastAsia" w:ascii="仿宋_GB2312" w:hAnsi="仿宋_GB2312" w:eastAsia="仿宋_GB2312" w:cs="仿宋_GB2312"/>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1.《食品经营许可证》申请书；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6.申请人委托他人办理食品经营许可申请的，代理人应当提交授权委托书以及代理人的身份证明文件。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（二）主体资格证明文件（营业执照除外）复印件，也可以电子核验的方式取代；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（三）与食品经营相适应的主要设备设施布局、操作流程等文件；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 / 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（二）主体资格证明文件（营业执照除外）复印件，也可以电子核验的方式取代；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（三）与食品经营相适应的主要设备设施布局、操作流程等文件；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申请人委托他人办理食品经营许可申请的，代理人应当提交授权委托书以及代理人的身份证明文件。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第十四条　县级以上地方市场监督管理部门对申请人提出的食品经营许可申请，应当根据下列情况分别作出处理：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（一）申请事项依法不需要取得食品经营许可的，应当即时告知申请人不受理。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（二）申请事项依法不属于市场监督管理部门职权范围的，应当即时作出不予受理的决定，并告知申请人向有关行政机关申请。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（三）申请材料存在可以当场更正的错误的，应当允许申请人当场更正，由申请人在更正处签名或者盖章，注明更正日期。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（五）申请材料齐全、符合法定形式，或者申请人按照要求提交全部补正材料的，应当受理食品经营许可申请。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现场核查应当由符合要求的核查人员进行。核查人员不得少于2人。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核查人员应当出示有效证件，填写食品经营许可现场核查表，制作现场核查记录，经申请人核对无误后，由核查人员和申请人在核查表和记录上签名或者盖章。申请人拒绝签名或者盖章的，核查人员应当注明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市场监督管理部门可以委托下级市场监督管理部门，对受理的食品经营许可申请进行现场核查。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核查人员应当自接受现场核查任务之日起10个工作日内，完成对经营场所的现场核查。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申请行政复议或者提起行政诉讼的权利。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8.《食品经营许可管理办法》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第二十条　县级以上地方市场监督管理部门认为食品经营许可申请涉及公共利益的重大事项，需要听证的，应当向社会公告并举行听证。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9.《食品经营许可管理办法》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第二十一条　食品经营许可直接涉及申请人与他人之间重大利益关系的，县级以上地方市场监督管理部门在作出行政许可决定前，应当告知申请人、利害关系人享有要求听证的权利。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申请人、利害关系人在被告知听证权利之日起5个工作日内提出听证申请的，市场监督管理部门应当在20个工作日内组织听证。听证期限不计算在行政许可审查期限之内。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28"/>
          <w:szCs w:val="28"/>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（四）承诺审批时限：5</w:t>
      </w:r>
      <w:r>
        <w:rPr>
          <w:rFonts w:hint="eastAsia" w:ascii="仿宋_GB2312" w:hAnsi="仿宋_GB2312" w:eastAsia="仿宋_GB2312" w:cs="仿宋_GB2312"/>
          <w:b w:val="0"/>
          <w:bCs w:val="0"/>
          <w:strike w:val="0"/>
          <w:dstrike w:val="0"/>
          <w:color w:val="auto"/>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（一）办理行政许可是否收费：否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第十九条　食品经营许可证发证日期为许可决定作出的日期，有效期为5年。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第二十七条　食品经营许可证载明的许可事项发生变化的，食品经营者应当在变化后10个工作日内向原发证的食品药品监督管理部门申请变更经营许可。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经营场所发生变化的，应当重新申请食品经营许可。外设仓库地址发生变化的，食品经营者应当在变化后10个工作日内向原发证的食品药品监督管理部门报告。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第二十八条　申请变更食品经营许可的，应当提交下列申请材料：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（一）食品经营许可变更申请书；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（三）与变更食品经营许可事项有关的其他材料</w:t>
      </w:r>
      <w:r>
        <w:rPr>
          <w:rFonts w:hint="eastAsia" w:ascii="仿宋_GB2312" w:hAnsi="仿宋_GB2312" w:eastAsia="仿宋_GB2312" w:cs="仿宋_GB2312"/>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（八）办理审批结果延续手续的依据：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第二十九条　食品经营者需要延续依法取得的食品经营许可的有效期的，应当在该食品经营许可有效期届满30个工作日前，向原发证的食品药品监督管理部门提出申请。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第三十条　食品经营者申请延续食品经营许可，应当提交下列材料：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（一）食品经营许可延续申请书；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 w:hAnsi="仿宋" w:eastAsia="仿宋" w:cs="仿宋"/>
          <w:sz w:val="28"/>
          <w:szCs w:val="28"/>
        </w:rPr>
      </w:pPr>
      <w:r>
        <w:rPr>
          <w:rFonts w:hint="eastAsia" w:ascii="仿宋_GB2312" w:hAnsi="仿宋_GB2312" w:eastAsia="仿宋_GB2312" w:cs="仿宋_GB2312"/>
          <w:b w:val="0"/>
          <w:bCs w:val="0"/>
          <w:strike w:val="0"/>
          <w:dstrike w:val="0"/>
          <w:color w:val="auto"/>
          <w:sz w:val="32"/>
          <w:szCs w:val="32"/>
          <w:lang w:val="en-US" w:eastAsia="zh-CN"/>
        </w:rPr>
        <w:t>（三）与延续食品经营许可事项有关的其他材料。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第二条　在中华人民共和国境内，从事食品销售和餐饮服务活动，应当依法取得食品经营许可。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28"/>
          <w:szCs w:val="28"/>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28"/>
          <w:szCs w:val="28"/>
          <w:lang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MTdlMTRiY2I4YzE2MWVkMDcxNzkxNTExZTA4MzEifQ=="/>
  </w:docVars>
  <w:rsids>
    <w:rsidRoot w:val="24994F9A"/>
    <w:rsid w:val="0014406D"/>
    <w:rsid w:val="00824F90"/>
    <w:rsid w:val="00C025D1"/>
    <w:rsid w:val="00CD7C31"/>
    <w:rsid w:val="011B58EE"/>
    <w:rsid w:val="01CD0898"/>
    <w:rsid w:val="022D461B"/>
    <w:rsid w:val="030E471C"/>
    <w:rsid w:val="03334FD2"/>
    <w:rsid w:val="03452431"/>
    <w:rsid w:val="03650045"/>
    <w:rsid w:val="03B03D9B"/>
    <w:rsid w:val="041D6583"/>
    <w:rsid w:val="05542478"/>
    <w:rsid w:val="083E1493"/>
    <w:rsid w:val="08502176"/>
    <w:rsid w:val="085E716A"/>
    <w:rsid w:val="08B2315A"/>
    <w:rsid w:val="0920136B"/>
    <w:rsid w:val="092D75CA"/>
    <w:rsid w:val="093C6AE6"/>
    <w:rsid w:val="09BE0882"/>
    <w:rsid w:val="0A1C72DC"/>
    <w:rsid w:val="0A2C751F"/>
    <w:rsid w:val="0A9D45FA"/>
    <w:rsid w:val="0AA10CB7"/>
    <w:rsid w:val="0C393BC0"/>
    <w:rsid w:val="0C426165"/>
    <w:rsid w:val="0CA23AC9"/>
    <w:rsid w:val="0F360E40"/>
    <w:rsid w:val="0F483543"/>
    <w:rsid w:val="0F552295"/>
    <w:rsid w:val="10972147"/>
    <w:rsid w:val="10E647F0"/>
    <w:rsid w:val="11BD3B0B"/>
    <w:rsid w:val="11D070B4"/>
    <w:rsid w:val="11F64A0A"/>
    <w:rsid w:val="134B71F7"/>
    <w:rsid w:val="13E5315A"/>
    <w:rsid w:val="14711346"/>
    <w:rsid w:val="14BF0BE9"/>
    <w:rsid w:val="14F86492"/>
    <w:rsid w:val="15EF430C"/>
    <w:rsid w:val="174560C4"/>
    <w:rsid w:val="17BA71C3"/>
    <w:rsid w:val="18E60586"/>
    <w:rsid w:val="18FD1CA1"/>
    <w:rsid w:val="1A416EBE"/>
    <w:rsid w:val="1A535886"/>
    <w:rsid w:val="1BA36333"/>
    <w:rsid w:val="1BB93055"/>
    <w:rsid w:val="1C512E16"/>
    <w:rsid w:val="1C5B5A42"/>
    <w:rsid w:val="1CB7779B"/>
    <w:rsid w:val="1DC01001"/>
    <w:rsid w:val="1F5C535A"/>
    <w:rsid w:val="21134B3E"/>
    <w:rsid w:val="214F06C0"/>
    <w:rsid w:val="217E7E53"/>
    <w:rsid w:val="22BE570A"/>
    <w:rsid w:val="235F43AF"/>
    <w:rsid w:val="23C87E61"/>
    <w:rsid w:val="23CE6656"/>
    <w:rsid w:val="24207C9D"/>
    <w:rsid w:val="24577588"/>
    <w:rsid w:val="24966278"/>
    <w:rsid w:val="24994F9A"/>
    <w:rsid w:val="24F13C90"/>
    <w:rsid w:val="25886D59"/>
    <w:rsid w:val="26381B56"/>
    <w:rsid w:val="26FD449C"/>
    <w:rsid w:val="27637E7B"/>
    <w:rsid w:val="27B8643F"/>
    <w:rsid w:val="27E23200"/>
    <w:rsid w:val="288B6760"/>
    <w:rsid w:val="28A32C4B"/>
    <w:rsid w:val="28B7285C"/>
    <w:rsid w:val="28E5287F"/>
    <w:rsid w:val="29310257"/>
    <w:rsid w:val="29936EB5"/>
    <w:rsid w:val="29DF6C30"/>
    <w:rsid w:val="2ACB4670"/>
    <w:rsid w:val="2B607D2C"/>
    <w:rsid w:val="2BFC1167"/>
    <w:rsid w:val="2CF7574A"/>
    <w:rsid w:val="2E89196A"/>
    <w:rsid w:val="2E905A1F"/>
    <w:rsid w:val="2F46225F"/>
    <w:rsid w:val="2F4D1B62"/>
    <w:rsid w:val="2F57478F"/>
    <w:rsid w:val="2F5E167A"/>
    <w:rsid w:val="2FC448BC"/>
    <w:rsid w:val="2FCD159E"/>
    <w:rsid w:val="2FD53EB9"/>
    <w:rsid w:val="30032221"/>
    <w:rsid w:val="30131B4A"/>
    <w:rsid w:val="30254BA5"/>
    <w:rsid w:val="306E6794"/>
    <w:rsid w:val="3092758F"/>
    <w:rsid w:val="31772EC7"/>
    <w:rsid w:val="317E72CD"/>
    <w:rsid w:val="318555E4"/>
    <w:rsid w:val="31F664E1"/>
    <w:rsid w:val="332134CF"/>
    <w:rsid w:val="33226E62"/>
    <w:rsid w:val="33293A73"/>
    <w:rsid w:val="340D18C0"/>
    <w:rsid w:val="3432019E"/>
    <w:rsid w:val="35220044"/>
    <w:rsid w:val="35411821"/>
    <w:rsid w:val="354D6418"/>
    <w:rsid w:val="360F1920"/>
    <w:rsid w:val="365607BB"/>
    <w:rsid w:val="36692C89"/>
    <w:rsid w:val="37573B0D"/>
    <w:rsid w:val="37DF48C1"/>
    <w:rsid w:val="37FF4E73"/>
    <w:rsid w:val="38057C5A"/>
    <w:rsid w:val="389D1465"/>
    <w:rsid w:val="38AC1CFD"/>
    <w:rsid w:val="393671C3"/>
    <w:rsid w:val="3A7C1C19"/>
    <w:rsid w:val="3AC53FE9"/>
    <w:rsid w:val="3ADE7D48"/>
    <w:rsid w:val="3B692946"/>
    <w:rsid w:val="3B854580"/>
    <w:rsid w:val="3B965A0A"/>
    <w:rsid w:val="3BE23A1E"/>
    <w:rsid w:val="3C0E61D6"/>
    <w:rsid w:val="3C2658F9"/>
    <w:rsid w:val="3C657FD7"/>
    <w:rsid w:val="3C8745AC"/>
    <w:rsid w:val="3DBF38A8"/>
    <w:rsid w:val="3DD40F99"/>
    <w:rsid w:val="3ECF7041"/>
    <w:rsid w:val="3EDE4397"/>
    <w:rsid w:val="3FA05195"/>
    <w:rsid w:val="3FA57D3C"/>
    <w:rsid w:val="401F30A7"/>
    <w:rsid w:val="40570F4E"/>
    <w:rsid w:val="407C09BA"/>
    <w:rsid w:val="40C869D5"/>
    <w:rsid w:val="415E6EB8"/>
    <w:rsid w:val="41635215"/>
    <w:rsid w:val="41A31ADD"/>
    <w:rsid w:val="41FF23D4"/>
    <w:rsid w:val="42042555"/>
    <w:rsid w:val="4208548C"/>
    <w:rsid w:val="42254279"/>
    <w:rsid w:val="42C34E0B"/>
    <w:rsid w:val="43384003"/>
    <w:rsid w:val="43B104BA"/>
    <w:rsid w:val="43C81360"/>
    <w:rsid w:val="44216CF4"/>
    <w:rsid w:val="44953E0D"/>
    <w:rsid w:val="44F95E84"/>
    <w:rsid w:val="453B25D7"/>
    <w:rsid w:val="45FA7DEF"/>
    <w:rsid w:val="46DD097A"/>
    <w:rsid w:val="46F752D4"/>
    <w:rsid w:val="479F4D71"/>
    <w:rsid w:val="48CB5887"/>
    <w:rsid w:val="4C226504"/>
    <w:rsid w:val="4C702484"/>
    <w:rsid w:val="4CC90232"/>
    <w:rsid w:val="4CDB2544"/>
    <w:rsid w:val="4CE50F85"/>
    <w:rsid w:val="4CF47669"/>
    <w:rsid w:val="4D1D7CDB"/>
    <w:rsid w:val="4D755501"/>
    <w:rsid w:val="4D857D45"/>
    <w:rsid w:val="4DA8765B"/>
    <w:rsid w:val="4E791088"/>
    <w:rsid w:val="4EAF3696"/>
    <w:rsid w:val="4F530A3E"/>
    <w:rsid w:val="4F82785F"/>
    <w:rsid w:val="51DD691E"/>
    <w:rsid w:val="52B61A48"/>
    <w:rsid w:val="52BC4786"/>
    <w:rsid w:val="53795458"/>
    <w:rsid w:val="54D45DB6"/>
    <w:rsid w:val="553D3D10"/>
    <w:rsid w:val="554B48AE"/>
    <w:rsid w:val="55713673"/>
    <w:rsid w:val="55E26853"/>
    <w:rsid w:val="565E0FEF"/>
    <w:rsid w:val="56AA2D01"/>
    <w:rsid w:val="56BC1AC1"/>
    <w:rsid w:val="574F5BC8"/>
    <w:rsid w:val="57504512"/>
    <w:rsid w:val="57587810"/>
    <w:rsid w:val="58B73A25"/>
    <w:rsid w:val="58B92F82"/>
    <w:rsid w:val="58ED4A5A"/>
    <w:rsid w:val="59BA5D0B"/>
    <w:rsid w:val="5A831CF0"/>
    <w:rsid w:val="5AB87E0C"/>
    <w:rsid w:val="5AEE3A96"/>
    <w:rsid w:val="5B66151C"/>
    <w:rsid w:val="5C3B496D"/>
    <w:rsid w:val="5CB77601"/>
    <w:rsid w:val="5CD32DD4"/>
    <w:rsid w:val="5D4C6846"/>
    <w:rsid w:val="5DB524FD"/>
    <w:rsid w:val="5DE227D8"/>
    <w:rsid w:val="5F041FA9"/>
    <w:rsid w:val="603C38E9"/>
    <w:rsid w:val="605E53B0"/>
    <w:rsid w:val="610E43FE"/>
    <w:rsid w:val="614479B7"/>
    <w:rsid w:val="61513320"/>
    <w:rsid w:val="618C45EC"/>
    <w:rsid w:val="61B07C17"/>
    <w:rsid w:val="61CD3451"/>
    <w:rsid w:val="622F0AD0"/>
    <w:rsid w:val="62B5368A"/>
    <w:rsid w:val="62B9295C"/>
    <w:rsid w:val="62F51723"/>
    <w:rsid w:val="630F798F"/>
    <w:rsid w:val="63116428"/>
    <w:rsid w:val="63E02C32"/>
    <w:rsid w:val="642F3009"/>
    <w:rsid w:val="642F5116"/>
    <w:rsid w:val="64DA32AE"/>
    <w:rsid w:val="657809E0"/>
    <w:rsid w:val="65947DCD"/>
    <w:rsid w:val="65DA73CC"/>
    <w:rsid w:val="664F5A97"/>
    <w:rsid w:val="66580005"/>
    <w:rsid w:val="66952ECC"/>
    <w:rsid w:val="68154C77"/>
    <w:rsid w:val="686A5D5F"/>
    <w:rsid w:val="68AC2EBA"/>
    <w:rsid w:val="68AD09A1"/>
    <w:rsid w:val="69D106BF"/>
    <w:rsid w:val="6A1F7C27"/>
    <w:rsid w:val="6A4054C2"/>
    <w:rsid w:val="6A5F3058"/>
    <w:rsid w:val="6AEE7395"/>
    <w:rsid w:val="6B390C80"/>
    <w:rsid w:val="6B3F174E"/>
    <w:rsid w:val="6B476E8A"/>
    <w:rsid w:val="6B621F16"/>
    <w:rsid w:val="6BFC073D"/>
    <w:rsid w:val="6C3F66B8"/>
    <w:rsid w:val="6C790328"/>
    <w:rsid w:val="6D270514"/>
    <w:rsid w:val="6D57712D"/>
    <w:rsid w:val="6E3878FF"/>
    <w:rsid w:val="6F1F19DF"/>
    <w:rsid w:val="6F5E273F"/>
    <w:rsid w:val="6F5F0599"/>
    <w:rsid w:val="6FC63300"/>
    <w:rsid w:val="6FCD7096"/>
    <w:rsid w:val="6FFE21C4"/>
    <w:rsid w:val="70003AAC"/>
    <w:rsid w:val="70185747"/>
    <w:rsid w:val="713109C5"/>
    <w:rsid w:val="716B4086"/>
    <w:rsid w:val="722A671B"/>
    <w:rsid w:val="72F00A08"/>
    <w:rsid w:val="73AD3C4B"/>
    <w:rsid w:val="74051691"/>
    <w:rsid w:val="744643E5"/>
    <w:rsid w:val="745D327B"/>
    <w:rsid w:val="74A27702"/>
    <w:rsid w:val="74B530B7"/>
    <w:rsid w:val="75060505"/>
    <w:rsid w:val="754F3006"/>
    <w:rsid w:val="75E02E27"/>
    <w:rsid w:val="760A42A7"/>
    <w:rsid w:val="76126817"/>
    <w:rsid w:val="766D3522"/>
    <w:rsid w:val="76EB3D5F"/>
    <w:rsid w:val="76EF1037"/>
    <w:rsid w:val="777942BD"/>
    <w:rsid w:val="77907B18"/>
    <w:rsid w:val="78965493"/>
    <w:rsid w:val="7920024A"/>
    <w:rsid w:val="79BD2A0E"/>
    <w:rsid w:val="79D272E4"/>
    <w:rsid w:val="7A21309A"/>
    <w:rsid w:val="7A632001"/>
    <w:rsid w:val="7B5C4280"/>
    <w:rsid w:val="7C292882"/>
    <w:rsid w:val="7C7A0E90"/>
    <w:rsid w:val="7D1103F8"/>
    <w:rsid w:val="7D356F30"/>
    <w:rsid w:val="7D4571EF"/>
    <w:rsid w:val="7DC578A8"/>
    <w:rsid w:val="7E6F077A"/>
    <w:rsid w:val="7EBF12E1"/>
    <w:rsid w:val="7F4912FC"/>
    <w:rsid w:val="7FACA7BA"/>
    <w:rsid w:val="7FFF8AC1"/>
    <w:rsid w:val="BECD3806"/>
    <w:rsid w:val="DFE943B6"/>
    <w:rsid w:val="DFFE87E6"/>
    <w:rsid w:val="EF7BB98C"/>
    <w:rsid w:val="F9E79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仿宋_GB2312" w:eastAsiaTheme="minorEastAsia"/>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云南省市场监管局</Company>
  <Pages>1</Pages>
  <Words>0</Words>
  <Characters>0</Characters>
  <Lines>0</Lines>
  <Paragraphs>0</Paragraphs>
  <TotalTime>63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2023-09-16T13:20:00Z</dcterms:created>
  <dc:creator>谌灵升【食品餐饮安全监督管理处】</dc:creator>
  <cp:lastModifiedBy>MHDN</cp:lastModifiedBy>
  <cp:lastPrinted>2023-10-09T12:56:00Z</cp:lastPrinted>
  <dcterms:modified xsi:type="dcterms:W3CDTF">2023-11-30T02:38:34Z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A805DA0FA0F9412BA02FD1D6E4E04CCF_13</vt:lpwstr>
  </property>
</Properties>
</file>