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附件2-2：</w:t>
      </w:r>
    </w:p>
    <w:p>
      <w:pPr>
        <w:spacing w:line="560" w:lineRule="exact"/>
        <w:ind w:firstLine="3960" w:firstLineChars="900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凤庆县</w:t>
      </w:r>
      <w:r>
        <w:rPr>
          <w:rFonts w:eastAsia="方正小标宋_GBK"/>
          <w:sz w:val="44"/>
          <w:szCs w:val="44"/>
        </w:rPr>
        <w:t>自查自验情况表</w:t>
      </w:r>
    </w:p>
    <w:p>
      <w:pPr>
        <w:spacing w:line="33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自查自验组织单位：凤庆县人民政府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</w:t>
      </w:r>
      <w:r>
        <w:rPr>
          <w:rFonts w:hint="eastAsia" w:eastAsia="方正仿宋_GBK"/>
          <w:sz w:val="32"/>
          <w:szCs w:val="32"/>
        </w:rPr>
        <w:t>验收日期：2023年9月1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日</w:t>
      </w:r>
    </w:p>
    <w:tbl>
      <w:tblPr>
        <w:tblStyle w:val="11"/>
        <w:tblW w:w="0" w:type="auto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45"/>
        <w:gridCol w:w="2459"/>
        <w:gridCol w:w="915"/>
        <w:gridCol w:w="826"/>
        <w:gridCol w:w="914"/>
        <w:gridCol w:w="736"/>
        <w:gridCol w:w="254"/>
        <w:gridCol w:w="361"/>
        <w:gridCol w:w="1079"/>
        <w:gridCol w:w="240"/>
        <w:gridCol w:w="840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15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问题名称</w:t>
            </w:r>
          </w:p>
        </w:tc>
        <w:tc>
          <w:tcPr>
            <w:tcW w:w="7949" w:type="dxa"/>
            <w:gridSpan w:val="7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饮用水水源安全隐患较多。饮用水水源地规范化建设未全面达标，部分地区水源地环境污染屡现。</w:t>
            </w:r>
            <w:r>
              <w:rPr>
                <w:rFonts w:hint="default" w:eastAsia="方正仿宋_GBK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eastAsia="方正仿宋_GBK"/>
                <w:sz w:val="28"/>
                <w:szCs w:val="28"/>
                <w:lang w:val="en-US" w:eastAsia="zh-CN"/>
              </w:rPr>
              <w:t>1—11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月，县级饮用水达标率降为</w:t>
            </w:r>
            <w:r>
              <w:rPr>
                <w:rFonts w:hint="default" w:eastAsia="方正仿宋_GBK"/>
                <w:sz w:val="28"/>
                <w:szCs w:val="28"/>
                <w:lang w:val="en-US" w:eastAsia="zh-CN"/>
              </w:rPr>
              <w:t>90.9%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eastAsia="方正仿宋_GBK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年第二季度，凤庆县头道河水库五日生化需氧量、</w:t>
            </w:r>
            <w:r>
              <w:rPr>
                <w:rFonts w:hint="default" w:eastAsia="方正仿宋_GBK"/>
                <w:sz w:val="28"/>
                <w:szCs w:val="28"/>
                <w:lang w:val="en-US" w:eastAsia="zh-CN"/>
              </w:rPr>
              <w:t>pH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值监测结果分别为</w:t>
            </w:r>
            <w:r>
              <w:rPr>
                <w:rFonts w:hint="default" w:eastAsia="方正仿宋_GBK"/>
                <w:sz w:val="28"/>
                <w:szCs w:val="28"/>
                <w:lang w:val="en-US" w:eastAsia="zh-CN"/>
              </w:rPr>
              <w:t>13.1mg/L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eastAsia="方正仿宋_GBK"/>
                <w:sz w:val="28"/>
                <w:szCs w:val="28"/>
                <w:lang w:val="en-US" w:eastAsia="zh-CN"/>
              </w:rPr>
              <w:t>9.06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，水质劣</w:t>
            </w:r>
            <w:r>
              <w:rPr>
                <w:rFonts w:hint="default" w:eastAsia="方正仿宋_GBK"/>
                <w:sz w:val="28"/>
                <w:szCs w:val="28"/>
                <w:lang w:val="en-US" w:eastAsia="zh-CN"/>
              </w:rPr>
              <w:t>Ⅴ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类；绿荫塘水库五日生化需氧量监测结果为</w:t>
            </w:r>
            <w:r>
              <w:rPr>
                <w:rFonts w:hint="default" w:eastAsia="方正仿宋_GBK"/>
                <w:sz w:val="28"/>
                <w:szCs w:val="28"/>
                <w:lang w:val="en-US" w:eastAsia="zh-CN"/>
              </w:rPr>
              <w:t>12.7mg/L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，水质劣</w:t>
            </w:r>
            <w:r>
              <w:rPr>
                <w:rFonts w:hint="default" w:eastAsia="方正仿宋_GBK"/>
                <w:sz w:val="28"/>
                <w:szCs w:val="28"/>
                <w:lang w:val="en-US" w:eastAsia="zh-CN"/>
              </w:rPr>
              <w:t>Ⅴ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类；干沙坝水库（千吨万人水源地）总磷监测结果为</w:t>
            </w:r>
            <w:r>
              <w:rPr>
                <w:rFonts w:hint="default" w:eastAsia="方正仿宋_GBK"/>
                <w:sz w:val="28"/>
                <w:szCs w:val="28"/>
                <w:lang w:val="en-US" w:eastAsia="zh-CN"/>
              </w:rPr>
              <w:t>0.06mg/L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，水质为</w:t>
            </w:r>
            <w:r>
              <w:rPr>
                <w:rFonts w:hint="default" w:eastAsia="方正仿宋_GBK"/>
                <w:sz w:val="28"/>
                <w:szCs w:val="28"/>
                <w:lang w:val="en-US" w:eastAsia="zh-CN"/>
              </w:rPr>
              <w:t>Ⅳ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类，已经停止供水，正在整治。部分水源地管理仍有诸多问题，水源地保护区内农作物种植和畜禽养殖未清零，水源地隔离防护设施及标识牌、警示牌设置不健全、不规范等情况依然存在。</w:t>
            </w:r>
          </w:p>
        </w:tc>
        <w:tc>
          <w:tcPr>
            <w:tcW w:w="1440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问题类型</w:t>
            </w:r>
          </w:p>
        </w:tc>
        <w:tc>
          <w:tcPr>
            <w:tcW w:w="4051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立行立改类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1515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949" w:type="dxa"/>
            <w:gridSpan w:val="7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40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051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定期整改类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整改方案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编制情况</w:t>
            </w:r>
          </w:p>
        </w:tc>
        <w:tc>
          <w:tcPr>
            <w:tcW w:w="184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  <w:tc>
          <w:tcPr>
            <w:tcW w:w="245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编制单位</w:t>
            </w:r>
          </w:p>
        </w:tc>
        <w:tc>
          <w:tcPr>
            <w:tcW w:w="3645" w:type="dxa"/>
            <w:gridSpan w:val="5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凤庆县水务局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组织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审核单位</w:t>
            </w:r>
          </w:p>
        </w:tc>
        <w:tc>
          <w:tcPr>
            <w:tcW w:w="4051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凤庆县人民政府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计划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</w:tc>
        <w:tc>
          <w:tcPr>
            <w:tcW w:w="7949" w:type="dxa"/>
            <w:gridSpan w:val="7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县城以上集中式饮用水水源安全隐患基本消除，水源管理地管理全面加强，水源地安全保障达标建设优良率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100%。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4051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55" w:type="dxa"/>
            <w:gridSpan w:val="13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19" w:type="dxa"/>
            <w:gridSpan w:val="3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措施1：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加强库区人类活动整治及面源污染治理。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right="0" w:firstLine="480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915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0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农业农村局</w:t>
            </w:r>
          </w:p>
        </w:tc>
        <w:tc>
          <w:tcPr>
            <w:tcW w:w="1351" w:type="dxa"/>
            <w:gridSpan w:val="3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319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2971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19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/>
              </w:rPr>
            </w:pPr>
          </w:p>
        </w:tc>
        <w:tc>
          <w:tcPr>
            <w:tcW w:w="915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/>
              </w:rPr>
            </w:pPr>
          </w:p>
        </w:tc>
        <w:tc>
          <w:tcPr>
            <w:tcW w:w="1740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/>
              </w:rPr>
            </w:pPr>
          </w:p>
        </w:tc>
        <w:tc>
          <w:tcPr>
            <w:tcW w:w="1351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/>
              </w:rPr>
            </w:pPr>
          </w:p>
        </w:tc>
        <w:tc>
          <w:tcPr>
            <w:tcW w:w="1319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19" w:type="dxa"/>
            <w:gridSpan w:val="3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措施2：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实施水库工程处理措施。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 w:eastAsia="方正仿宋_GBK"/>
                <w:sz w:val="28"/>
                <w:szCs w:val="28"/>
              </w:rPr>
            </w:pPr>
          </w:p>
        </w:tc>
        <w:tc>
          <w:tcPr>
            <w:tcW w:w="915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0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市生态环境局凤庆分局</w:t>
            </w:r>
          </w:p>
        </w:tc>
        <w:tc>
          <w:tcPr>
            <w:tcW w:w="1351" w:type="dxa"/>
            <w:gridSpan w:val="3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319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2971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819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/>
              </w:rPr>
            </w:pPr>
          </w:p>
        </w:tc>
        <w:tc>
          <w:tcPr>
            <w:tcW w:w="915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/>
              </w:rPr>
            </w:pPr>
          </w:p>
        </w:tc>
        <w:tc>
          <w:tcPr>
            <w:tcW w:w="1740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/>
              </w:rPr>
            </w:pPr>
          </w:p>
        </w:tc>
        <w:tc>
          <w:tcPr>
            <w:tcW w:w="1351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/>
              </w:rPr>
            </w:pPr>
          </w:p>
        </w:tc>
        <w:tc>
          <w:tcPr>
            <w:tcW w:w="1319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19" w:type="dxa"/>
            <w:gridSpan w:val="3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措施3：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完善警示标志。</w:t>
            </w:r>
          </w:p>
        </w:tc>
        <w:tc>
          <w:tcPr>
            <w:tcW w:w="915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0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default" w:eastAsia="方正仿宋_GBK"/>
                <w:sz w:val="28"/>
                <w:szCs w:val="28"/>
              </w:rPr>
              <w:t>县</w:t>
            </w:r>
            <w:r>
              <w:rPr>
                <w:rFonts w:hint="eastAsia" w:eastAsia="方正仿宋_GBK"/>
                <w:sz w:val="28"/>
                <w:szCs w:val="28"/>
              </w:rPr>
              <w:t>水务局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、市生态环境局凤庆分局</w:t>
            </w:r>
          </w:p>
        </w:tc>
        <w:tc>
          <w:tcPr>
            <w:tcW w:w="1351" w:type="dxa"/>
            <w:gridSpan w:val="3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319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2971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819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/>
              </w:rPr>
            </w:pPr>
          </w:p>
        </w:tc>
        <w:tc>
          <w:tcPr>
            <w:tcW w:w="915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/>
              </w:rPr>
            </w:pPr>
          </w:p>
        </w:tc>
        <w:tc>
          <w:tcPr>
            <w:tcW w:w="1740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/>
              </w:rPr>
            </w:pPr>
          </w:p>
        </w:tc>
        <w:tc>
          <w:tcPr>
            <w:tcW w:w="1351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/>
              </w:rPr>
            </w:pPr>
          </w:p>
        </w:tc>
        <w:tc>
          <w:tcPr>
            <w:tcW w:w="1319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1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环境违法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行为查处</w:t>
            </w:r>
          </w:p>
        </w:tc>
        <w:tc>
          <w:tcPr>
            <w:tcW w:w="184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  <w:tc>
          <w:tcPr>
            <w:tcW w:w="245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6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责任追究</w:t>
            </w:r>
          </w:p>
        </w:tc>
        <w:tc>
          <w:tcPr>
            <w:tcW w:w="184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  <w:tc>
          <w:tcPr>
            <w:tcW w:w="245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6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</w:tc>
        <w:tc>
          <w:tcPr>
            <w:tcW w:w="1845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2459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链接</w:t>
            </w:r>
          </w:p>
        </w:tc>
        <w:tc>
          <w:tcPr>
            <w:tcW w:w="9136" w:type="dxa"/>
            <w:gridSpan w:val="10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45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136" w:type="dxa"/>
            <w:gridSpan w:val="10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  <w:tc>
          <w:tcPr>
            <w:tcW w:w="245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  <w:tc>
          <w:tcPr>
            <w:tcW w:w="9136" w:type="dxa"/>
            <w:gridSpan w:val="10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  <w:tc>
          <w:tcPr>
            <w:tcW w:w="245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  <w:tc>
          <w:tcPr>
            <w:tcW w:w="9136" w:type="dxa"/>
            <w:gridSpan w:val="10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  <w:tc>
          <w:tcPr>
            <w:tcW w:w="245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  <w:tc>
          <w:tcPr>
            <w:tcW w:w="9136" w:type="dxa"/>
            <w:gridSpan w:val="10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群众满意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度调查</w:t>
            </w:r>
          </w:p>
        </w:tc>
        <w:tc>
          <w:tcPr>
            <w:tcW w:w="184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245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调查情况</w:t>
            </w:r>
          </w:p>
        </w:tc>
        <w:tc>
          <w:tcPr>
            <w:tcW w:w="5745" w:type="dxa"/>
            <w:gridSpan w:val="6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3360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自查自验结论及签字</w:t>
            </w:r>
          </w:p>
        </w:tc>
        <w:tc>
          <w:tcPr>
            <w:tcW w:w="11595" w:type="dxa"/>
            <w:gridSpan w:val="11"/>
            <w:noWrap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0" w:lineRule="exact"/>
              <w:ind w:left="0" w:right="0" w:firstLine="560" w:firstLineChars="200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经材料核实和现场核实，符合验收要求，同意上报组织验收。</w:t>
            </w:r>
          </w:p>
        </w:tc>
      </w:tr>
    </w:tbl>
    <w:p>
      <w:pPr>
        <w:adjustRightInd w:val="0"/>
        <w:snapToGrid w:val="0"/>
        <w:spacing w:line="330" w:lineRule="exact"/>
        <w:rPr>
          <w:rFonts w:eastAsia="方正黑体_GBK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填表说明：</w:t>
      </w:r>
    </w:p>
    <w:p>
      <w:pPr>
        <w:adjustRightInd w:val="0"/>
        <w:snapToGrid w:val="0"/>
        <w:spacing w:line="400" w:lineRule="exact"/>
        <w:ind w:left="8" w:leftChars="4"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1.自查自验组织单位</w:t>
      </w:r>
      <w:r>
        <w:rPr>
          <w:rFonts w:hint="eastAsia" w:eastAsia="方正仿宋_GBK"/>
          <w:sz w:val="28"/>
          <w:szCs w:val="28"/>
        </w:rPr>
        <w:t>为凤庆县人民政府</w:t>
      </w:r>
      <w:r>
        <w:rPr>
          <w:rFonts w:eastAsia="方正仿宋_GBK"/>
          <w:sz w:val="28"/>
          <w:szCs w:val="28"/>
        </w:rPr>
        <w:t>，由主要领导在页眉空白处签字并加盖公章，验收日期按照完成自查自验的时间填写。</w:t>
      </w:r>
    </w:p>
    <w:p>
      <w:pPr>
        <w:adjustRightInd w:val="0"/>
        <w:snapToGrid w:val="0"/>
        <w:spacing w:line="4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2．计划整改目标按照通过审核的环境问题整改方案填写，整改目标完成情况据实填写。</w:t>
      </w:r>
    </w:p>
    <w:p>
      <w:pPr>
        <w:adjustRightInd w:val="0"/>
        <w:snapToGrid w:val="0"/>
        <w:spacing w:line="4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3．整改措施栏目根据通过审核的环境问题整改方案据实填写，超过3项整改措施的，可按照本表格另附完整的整改措施一览表，逐条列出整改措施、责任单位、整改时限、完成情况。不属于规定时限完成的，分“超时限完成”“未完成”两类进行说明。</w:t>
      </w:r>
    </w:p>
    <w:p>
      <w:pPr>
        <w:adjustRightInd w:val="0"/>
        <w:snapToGrid w:val="0"/>
        <w:spacing w:line="4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4．违法行为查处责任单位根据具体违法行为确定责任单位，并不限于</w:t>
      </w:r>
      <w:r>
        <w:rPr>
          <w:rFonts w:hint="eastAsia" w:eastAsia="方正仿宋_GBK"/>
          <w:sz w:val="28"/>
          <w:szCs w:val="28"/>
        </w:rPr>
        <w:t>生态</w:t>
      </w:r>
      <w:r>
        <w:rPr>
          <w:rFonts w:eastAsia="方正仿宋_GBK"/>
          <w:sz w:val="28"/>
          <w:szCs w:val="28"/>
        </w:rPr>
        <w:t>环境主管部门，办理情况进行简要精炼的说明。</w:t>
      </w:r>
    </w:p>
    <w:p>
      <w:pPr>
        <w:adjustRightInd w:val="0"/>
        <w:snapToGrid w:val="0"/>
        <w:spacing w:line="4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5．责任追究责任单位为各级纪检监察机关，办理情况进行简要精炼的说明。</w:t>
      </w:r>
    </w:p>
    <w:p>
      <w:pPr>
        <w:adjustRightInd w:val="0"/>
        <w:snapToGrid w:val="0"/>
        <w:spacing w:line="400" w:lineRule="exact"/>
        <w:ind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6．信息公开链接填写凤庆县人民政府门户网站公示内容链接网址。</w:t>
      </w:r>
    </w:p>
    <w:p>
      <w:pPr>
        <w:adjustRightInd w:val="0"/>
        <w:snapToGrid w:val="0"/>
        <w:spacing w:line="400" w:lineRule="exact"/>
        <w:ind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7．群众满意度调查的责任单位为</w:t>
      </w:r>
      <w:r>
        <w:rPr>
          <w:rFonts w:hint="eastAsia" w:eastAsia="方正仿宋_GBK"/>
          <w:sz w:val="28"/>
          <w:szCs w:val="28"/>
        </w:rPr>
        <w:t>牵头整改单位</w:t>
      </w:r>
      <w:r>
        <w:rPr>
          <w:rFonts w:eastAsia="方正仿宋_GBK"/>
          <w:sz w:val="28"/>
          <w:szCs w:val="28"/>
        </w:rPr>
        <w:t>，</w:t>
      </w:r>
      <w:r>
        <w:rPr>
          <w:rFonts w:hint="eastAsia" w:eastAsia="方正仿宋_GBK"/>
          <w:sz w:val="28"/>
          <w:szCs w:val="28"/>
        </w:rPr>
        <w:t>调查测评范围根据整改问题影响范围确定，</w:t>
      </w:r>
      <w:r>
        <w:rPr>
          <w:rFonts w:eastAsia="方正仿宋_GBK"/>
          <w:sz w:val="28"/>
          <w:szCs w:val="28"/>
        </w:rPr>
        <w:t>调查情况进行简要精炼的说明，但应明确受影响群众对环境问题整改结果是否满意。受影响群众的选择要有代表性。</w:t>
      </w:r>
    </w:p>
    <w:p>
      <w:pPr>
        <w:adjustRightInd w:val="0"/>
        <w:snapToGrid w:val="0"/>
        <w:spacing w:line="4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8．验收结论及签字栏目中，验收结论与栏目中规范化表述不同的，可据实填写。参加验收的人员</w:t>
      </w:r>
      <w:r>
        <w:rPr>
          <w:rFonts w:hint="eastAsia" w:eastAsia="方正仿宋_GBK"/>
          <w:sz w:val="28"/>
          <w:szCs w:val="28"/>
        </w:rPr>
        <w:t>需包括配合整改单位和相关乡镇分管领导、责任人员，需</w:t>
      </w:r>
      <w:r>
        <w:rPr>
          <w:rFonts w:eastAsia="方正仿宋_GBK"/>
          <w:sz w:val="28"/>
          <w:szCs w:val="28"/>
        </w:rPr>
        <w:t>全员</w:t>
      </w:r>
      <w:r>
        <w:rPr>
          <w:rFonts w:hint="eastAsia" w:eastAsia="方正仿宋_GBK"/>
          <w:sz w:val="28"/>
          <w:szCs w:val="28"/>
        </w:rPr>
        <w:t>手写</w:t>
      </w:r>
      <w:r>
        <w:rPr>
          <w:rFonts w:eastAsia="方正仿宋_GBK"/>
          <w:sz w:val="28"/>
          <w:szCs w:val="28"/>
        </w:rPr>
        <w:t>签字确认，并另附参加验收人员一览表写明验收人员姓名、单位和职务等信息</w:t>
      </w:r>
      <w:r>
        <w:rPr>
          <w:rFonts w:hint="eastAsia" w:eastAsia="方正仿宋_GBK"/>
          <w:sz w:val="28"/>
          <w:szCs w:val="28"/>
        </w:rPr>
        <w:t>（附后）</w:t>
      </w:r>
      <w:r>
        <w:rPr>
          <w:rFonts w:eastAsia="方正仿宋_GBK"/>
          <w:sz w:val="28"/>
          <w:szCs w:val="28"/>
        </w:rPr>
        <w:t>。</w:t>
      </w:r>
    </w:p>
    <w:p>
      <w:pPr>
        <w:adjustRightInd w:val="0"/>
        <w:snapToGrid w:val="0"/>
        <w:spacing w:line="400" w:lineRule="exact"/>
      </w:pPr>
      <w:r>
        <w:rPr>
          <w:rFonts w:eastAsia="方正仿宋_GBK"/>
          <w:sz w:val="28"/>
          <w:szCs w:val="28"/>
        </w:rPr>
        <w:t xml:space="preserve"> 9．填写是或否的内容，在“是”或“否”后打“√</w:t>
      </w:r>
      <w:r>
        <w:rPr>
          <w:rFonts w:hint="eastAsia" w:eastAsia="方正仿宋_GBK"/>
          <w:sz w:val="28"/>
          <w:szCs w:val="28"/>
        </w:rPr>
        <w:t>”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47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ODczMTZmYWEwMzczNGRlNjdiN2NhYmEwOTA2ZjYyMzAifQ=="/>
  </w:docVars>
  <w:rsids>
    <w:rsidRoot w:val="7A862C48"/>
    <w:rsid w:val="00681B39"/>
    <w:rsid w:val="007D2225"/>
    <w:rsid w:val="00B31CF3"/>
    <w:rsid w:val="00C30909"/>
    <w:rsid w:val="09095637"/>
    <w:rsid w:val="09C778BB"/>
    <w:rsid w:val="13CC1D73"/>
    <w:rsid w:val="16510B31"/>
    <w:rsid w:val="1D5E1C8E"/>
    <w:rsid w:val="209A07CB"/>
    <w:rsid w:val="33B9691A"/>
    <w:rsid w:val="352C38EB"/>
    <w:rsid w:val="38F848ED"/>
    <w:rsid w:val="3C547C60"/>
    <w:rsid w:val="3C6900D5"/>
    <w:rsid w:val="40F8639A"/>
    <w:rsid w:val="48914416"/>
    <w:rsid w:val="4D1E5583"/>
    <w:rsid w:val="5A391373"/>
    <w:rsid w:val="66CA55E8"/>
    <w:rsid w:val="6C07605D"/>
    <w:rsid w:val="72704F19"/>
    <w:rsid w:val="7A862C48"/>
    <w:rsid w:val="7DEB5D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Lines/>
      <w:spacing w:line="360" w:lineRule="auto"/>
      <w:outlineLvl w:val="3"/>
    </w:pPr>
    <w:rPr>
      <w:rFonts w:eastAsia="仿宋_GB231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link w:val="22"/>
    <w:qFormat/>
    <w:uiPriority w:val="0"/>
    <w:pPr>
      <w:spacing w:after="120" w:line="360" w:lineRule="auto"/>
      <w:ind w:left="420" w:leftChars="200" w:firstLine="420" w:firstLineChars="200"/>
    </w:pPr>
    <w:rPr>
      <w:sz w:val="24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Body Text Indent"/>
    <w:basedOn w:val="1"/>
    <w:link w:val="20"/>
    <w:qFormat/>
    <w:uiPriority w:val="0"/>
    <w:pPr>
      <w:spacing w:line="560" w:lineRule="exact"/>
      <w:ind w:firstLine="200" w:firstLineChars="200"/>
    </w:pPr>
    <w:rPr>
      <w:rFonts w:ascii="宋体"/>
      <w:sz w:val="28"/>
      <w:szCs w:val="28"/>
    </w:rPr>
  </w:style>
  <w:style w:type="paragraph" w:styleId="8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Body Text First Indent1"/>
    <w:basedOn w:val="6"/>
    <w:qFormat/>
    <w:uiPriority w:val="0"/>
    <w:pPr>
      <w:adjustRightInd w:val="0"/>
      <w:spacing w:line="275" w:lineRule="atLeast"/>
      <w:ind w:firstLine="420"/>
      <w:textAlignment w:val="baseline"/>
    </w:pPr>
  </w:style>
  <w:style w:type="character" w:customStyle="1" w:styleId="15">
    <w:name w:val="font2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16">
    <w:name w:val="font11"/>
    <w:basedOn w:val="13"/>
    <w:qFormat/>
    <w:uiPriority w:val="0"/>
    <w:rPr>
      <w:rFonts w:ascii="Arial" w:hAnsi="Arial" w:cs="Arial"/>
      <w:color w:val="000000"/>
      <w:sz w:val="36"/>
      <w:szCs w:val="36"/>
      <w:u w:val="none"/>
    </w:rPr>
  </w:style>
  <w:style w:type="character" w:customStyle="1" w:styleId="17">
    <w:name w:val="font01"/>
    <w:basedOn w:val="1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13"/>
    <w:link w:val="9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正文文本缩进 Char"/>
    <w:basedOn w:val="13"/>
    <w:link w:val="7"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21">
    <w:name w:val="标题 2 Char"/>
    <w:basedOn w:val="13"/>
    <w:link w:val="3"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22">
    <w:name w:val="正文首行缩进 2 Char"/>
    <w:basedOn w:val="20"/>
    <w:link w:val="2"/>
    <w:uiPriority w:val="0"/>
    <w:rPr>
      <w:rFonts w:hint="eastAsia" w:ascii="宋体" w:hAnsi="宋体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临沧市凤庆县党政机关单位</Company>
  <Pages>4</Pages>
  <Words>240</Words>
  <Characters>1373</Characters>
  <Lines>11</Lines>
  <Paragraphs>3</Paragraphs>
  <TotalTime>6</TotalTime>
  <ScaleCrop>false</ScaleCrop>
  <LinksUpToDate>false</LinksUpToDate>
  <CharactersWithSpaces>1610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2022-09-30T03:35:00Z</dcterms:created>
  <dc:creator>Gabriel</dc:creator>
  <cp:lastModifiedBy>ᝰ丶Role</cp:lastModifiedBy>
  <dcterms:modified xsi:type="dcterms:W3CDTF">2023-10-16T09:06:26Z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DBFAEC84391947328D02D53CF4390E3A_13</vt:lpwstr>
  </property>
</Properties>
</file>