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bookmarkStart w:id="0" w:name="_GoBack"/>
      <w:r>
        <w:rPr>
          <w:rFonts w:hint="eastAsia" w:ascii="方正仿宋_GBK" w:hAnsi="方正仿宋_GBK" w:eastAsia="方正仿宋_GBK" w:cs="方正仿宋_GBK"/>
          <w:sz w:val="28"/>
          <w:szCs w:val="28"/>
        </w:rPr>
        <w:t>特殊车辆在城市道路上行驶审批</w:t>
      </w:r>
    </w:p>
    <w:bookmarkEnd w:id="0"/>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 112 项涉及州级及以下行政权力事项的决定》（云政发〔2020〕21 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1.特殊车辆在城市道路上行驶审批（县级权限）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特殊车辆在城市道路上行驶审批（县级权限）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【000117130003】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特殊车辆在城市道路上行驶审批【00011713000Y】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特殊车辆在城市道路上行驶审批（县级权限）【000117130003】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1.特殊车辆在城市道路上行驶审批（县级权限）变更申请(00011713000301)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2.特殊车辆在城市道路上行驶审批（县级权限）首次申请(00011713000302)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（1）《城市道路管理条例》第二十八条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 112 项涉及州级及以下行政权力事项的决定》（云政发〔2020〕21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特殊车辆在城市道路上行驶（包括经过城市桥梁）审批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因城市建设发展或其他特殊事项需要；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运输物品不可拆解；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必须遵守限载、限速、限高的规定；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具备公安交通管理部门认可的指定时间、路线；</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有市政设施防护方案；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（1）城市道路管理条例第二十八条履带车、铁轮车或者超重、超高、超长车辆需要在城市道路上行驶的，事先须征得市政工程行政主管部门同意，并按照公安交通管理部门指定的时间、路线行驶。</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1.完善监管机制，制定检查监督方案。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2.压实特殊车辆安全生产责任，引导特殊车辆源头单位安装称重检测及视频监控等设备，并联网运行，对出场(站)特殊车辆进行检测，坚决杜绝未经许可或车证不符的特殊车辆上路行驶。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现场核查，严格落实有关规定要求，对可能影响城市道路完好、安全、畅通情形的，要加大抽查力度;对申请的特殊车辆接近跨类临界值的，要重点抽查，对核查或抽查中发现与申请不符的，按隐瞒有关情况或者提供虚假材料申请许可，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强化特殊车辆动态监管，指导执法机构利用北斗定位、ETC门架信息等数据，及时发现车辆不按许可路线行驶问题；加强途中检查，发现违法情形的，依法严肃查处；建立跨区域联动监管机制，解决区域间信息不共享、出现问题相互推诿的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严格特殊车辆通行数据分析比对，利用现有大数据资源，开展特殊车辆行驶轨迹分析比对，提高虚假填报、车证不符、不按许可路线行驶等违法情形的发现能力。探索特殊车辆企业信用风险分类管理，建立特殊车辆企业信用积分规则，进行信用评价，提高企业失信违法成本，引导诚信办证、规范行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车辆驾驶证、行驶证证明文件。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公安交警部门证明文件（经公安交通管理部门批准的车辆经过城市道路（城市桥梁）行驶方案，包括和通行时间示意图、行车路线）。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所经过城市道路、桥梁的保护措施方案。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特殊车辆经过城市桥梁的，还应提交由第三方单位的安全检测与评估报告或桥梁原设计单位出具的技术安全意见、桥梁专家的审查意见和事故预警和应急加固方案。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（1）城市道路管理条例第二十八条履带车、铁轮车或者超重、超高、超长车辆需要在城市道路上行驶的，事先须征得市政工程行政主管部门同意，并按照公安交通管理部门指定的时间、路线行驶。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特殊车辆在城市道路上行驶许可决定书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通行的时间、路线发生变更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42E9"/>
    <w:rsid w:val="54CB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2023-12-29T01:39:00Z</dcterms:created>
  <dc:creator>WPS_1660703559</dc:creator>
  <cp:lastModifiedBy>WPS_1660703559</cp:lastModifiedBy>
  <dcterms:modified xsi:type="dcterms:W3CDTF">2023-12-29T01:40:42Z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9BFC96FD8A5E4F648B9426BCF24A1026</vt:lpwstr>
  </property>
</Properties>
</file>