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附件2-2：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凤庆县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自查自验情况表</w:t>
      </w:r>
    </w:p>
    <w:p>
      <w:pPr>
        <w:spacing w:line="560" w:lineRule="exact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</w:t>
      </w:r>
      <w:r>
        <w:rPr>
          <w:rFonts w:hint="eastAsia" w:eastAsia="方正仿宋_GBK"/>
          <w:sz w:val="32"/>
          <w:szCs w:val="32"/>
          <w:lang w:eastAsia="zh-CN"/>
        </w:rPr>
        <w:t>凤庆县人民政府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验收日期：</w:t>
      </w: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16</w:t>
      </w:r>
      <w:r>
        <w:rPr>
          <w:rFonts w:hint="eastAsia" w:eastAsia="方正仿宋_GBK"/>
          <w:sz w:val="32"/>
          <w:szCs w:val="32"/>
        </w:rPr>
        <w:t>日</w:t>
      </w:r>
    </w:p>
    <w:tbl>
      <w:tblPr>
        <w:tblStyle w:val="8"/>
        <w:tblW w:w="0" w:type="auto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1635"/>
        <w:gridCol w:w="1440"/>
        <w:gridCol w:w="1125"/>
        <w:gridCol w:w="795"/>
        <w:gridCol w:w="525"/>
        <w:gridCol w:w="330"/>
        <w:gridCol w:w="615"/>
        <w:gridCol w:w="795"/>
        <w:gridCol w:w="420"/>
        <w:gridCol w:w="85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365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凤庆县滇红国际小区自来水一直存在浑浊、有沙土、有臭味，无法正 常使用，对热水器造成影响；小区工程及附属工程偷工减料，导致建筑 垃圾增多；小区道路两边基本没有绿化带；违章建筑问题突出。</w:t>
            </w:r>
          </w:p>
        </w:tc>
        <w:tc>
          <w:tcPr>
            <w:tcW w:w="174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立行立改类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  <w:tc>
          <w:tcPr>
            <w:tcW w:w="7365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  <w:tc>
          <w:tcPr>
            <w:tcW w:w="174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定期整改类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凤庆县住房和城乡建设局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  <w:szCs w:val="24"/>
              </w:rPr>
              <w:t>滇红国际小区自来水水质良好，达到国家《生活饮用水卫生标准》(GB57492006)。滇红国际小区违章搭建情况得到治理，违章建筑得到拆除。工程附属绿化工程按照规划和通过审批的设计方案施工，各专项工程验收组织程序符合法定程序，建筑垃圾及时清运。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已完成整改目标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95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措施1： 严格执行《生活饮用水卫生标准》，落实水质检测制度，加强源水、出厂水、管网水水质检测，建立检测档案。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凤庆县住房和城乡建设局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已立行立改，并长期坚持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措施2：持续跟项目进度，严格按照规划和通过审批的附属绿化工程设计方案施工，加强绿化工程建设监管，狠抓竣工验收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sz w:val="24"/>
                <w:szCs w:val="24"/>
              </w:rPr>
              <w:t>加强组织领导，完善联席会议制度推进小区建设与管理，对小区业主装修产生垃圾及时组织清运处理，并建立长效机制。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凤庆县住房和城乡建设局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已立行立改，并长期坚持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措施3：</w:t>
            </w:r>
            <w:r>
              <w:rPr>
                <w:rFonts w:hint="eastAsia" w:eastAsia="方正仿宋_GBK"/>
                <w:sz w:val="24"/>
                <w:szCs w:val="24"/>
              </w:rPr>
              <w:t>对小区违章建筑进行全面排查，确保违建情况底数清、情况明、数据准，对调查核实出的问题及时制定整改方案，纳入全县“两违”拆除。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凤庆县住房和城乡建设局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已立行立改，并长期坚持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环境</w:t>
            </w:r>
            <w:r>
              <w:rPr>
                <w:rFonts w:hint="eastAsia" w:eastAsia="方正仿宋_GBK"/>
                <w:sz w:val="28"/>
                <w:szCs w:val="28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群众满意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度调查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3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经材料核实和现场核实，符合验收要求，同意上报组织验收。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4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自查自验组织单位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为凤庆县人民政府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，由主要领导在页眉空白处签字并加盖公章，验收日期按照完成自查自验的时间填写。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．计划整改目标按照通过审核的环境问题整改方案填写，整改目标完成情况据实填写。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．整改措施栏目根据通过审核的环境问题整改方案据实填写，超过3项整改措施的，可按照本表格另附完整的整改措施一览表，逐条列出整改措施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责任单位、整改时限、完成情况。不属于规定时限完成的，分“超时限完成”“未完成”两类进行说明。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．违法行为查处责任单位根据具体违法行为确定责任单位，并不限于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生态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环境主管部门，办理情况进行简要精炼的说明。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．责任追究责任单位为各级纪检监察机关，办理情况进行简要精炼的说明。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．信息公开链接填写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凤庆县人民政府门户网站公示内容链接网址。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群众满意度调查的责任单位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牵头整改单位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调查测评范围根据整改问题影响范围确定，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．验收结论及签字栏目中，验收结论与栏目中规范化表述不同的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可据实填写。参加验收的人员</w:t>
      </w:r>
      <w:r>
        <w:rPr>
          <w:rFonts w:hint="eastAsia" w:eastAsia="方正仿宋_GBK" w:cs="Times New Roman"/>
          <w:sz w:val="28"/>
          <w:szCs w:val="28"/>
          <w:lang w:eastAsia="zh-CN"/>
        </w:rPr>
        <w:t>需包括配合整改单位和相关乡镇分管领导、责任人员，需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全员</w:t>
      </w:r>
      <w:r>
        <w:rPr>
          <w:rFonts w:hint="eastAsia" w:eastAsia="方正仿宋_GBK" w:cs="Times New Roman"/>
          <w:sz w:val="28"/>
          <w:szCs w:val="28"/>
          <w:lang w:eastAsia="zh-CN"/>
        </w:rPr>
        <w:t>手写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（附后）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line="560" w:lineRule="exact"/>
        <w:jc w:val="both"/>
        <w:textAlignment w:val="center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．填写是或否的内容，在“是”或“否”后打“√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TZmYWEwMzczNGRlNjdiN2NhYmEwOTA2ZjYyMzAifQ=="/>
  </w:docVars>
  <w:rsids>
    <w:rsidRoot w:val="7A862C48"/>
    <w:rsid w:val="00C30909"/>
    <w:rsid w:val="09C778BB"/>
    <w:rsid w:val="13CC1D73"/>
    <w:rsid w:val="1D5E1C8E"/>
    <w:rsid w:val="209A07CB"/>
    <w:rsid w:val="315B7806"/>
    <w:rsid w:val="38F848ED"/>
    <w:rsid w:val="3B1F2DD0"/>
    <w:rsid w:val="40F8639A"/>
    <w:rsid w:val="479F397D"/>
    <w:rsid w:val="48914416"/>
    <w:rsid w:val="4B683C18"/>
    <w:rsid w:val="4EDF1EE0"/>
    <w:rsid w:val="66CA55E8"/>
    <w:rsid w:val="72704F19"/>
    <w:rsid w:val="7A862C48"/>
    <w:rsid w:val="7DEB5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ascii="Times New Roman" w:hAnsi="Times New Roman" w:eastAsia="仿宋_GB2312" w:cs="Times New Roma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6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First Indent1"/>
    <w:basedOn w:val="4"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hAnsi="Times New Roman" w:eastAsia="宋体" w:cs="Times New Roman"/>
    </w:rPr>
  </w:style>
  <w:style w:type="character" w:customStyle="1" w:styleId="12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3">
    <w:name w:val="font11"/>
    <w:basedOn w:val="10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10</Pages>
  <Words>1849</Words>
  <Characters>1922</Characters>
  <Lines>0</Lines>
  <Paragraphs>0</Paragraphs>
  <TotalTime>0</TotalTime>
  <ScaleCrop>false</ScaleCrop>
  <LinksUpToDate>false</LinksUpToDate>
  <CharactersWithSpaces>2209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2022-09-30T03:35:00Z</dcterms:created>
  <dc:creator>Gabriel</dc:creator>
  <cp:lastModifiedBy>ᝰ丶Role</cp:lastModifiedBy>
  <cp:lastPrinted>2023-10-16T09:36:01Z</cp:lastPrinted>
  <dcterms:modified xsi:type="dcterms:W3CDTF">2023-10-16T09:36:13Z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B1107B400A4A4C9A97A5C9040582BCD2_13</vt:lpwstr>
  </property>
</Properties>
</file>