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rPr>
          <w:rFonts w:hint="eastAsia" w:ascii="方正小标宋简体" w:hAnsi="方正小标宋简体" w:eastAsia="方正小标宋简体" w:cs="方正小标宋简体"/>
          <w:color w:val="auto"/>
          <w:sz w:val="32"/>
          <w:szCs w:val="32"/>
          <w:lang w:eastAsia="zh-CN"/>
        </w:rPr>
      </w:pPr>
      <w:bookmarkStart w:id="0" w:name="_Toc108468126"/>
      <w:bookmarkStart w:id="1" w:name="处罚决定书"/>
      <w:bookmarkStart w:id="2" w:name="_Toc29744267"/>
      <w:r>
        <w:rPr>
          <w:rFonts w:hint="eastAsia" w:ascii="方正小标宋简体" w:hAnsi="方正小标宋简体" w:eastAsia="方正小标宋简体" w:cs="方正小标宋简体"/>
          <w:color w:val="auto"/>
          <w:sz w:val="32"/>
          <w:szCs w:val="32"/>
          <w:lang w:eastAsia="zh-CN"/>
        </w:rPr>
        <w:t>凤庆县农业农村局</w:t>
      </w:r>
    </w:p>
    <w:p>
      <w:pPr>
        <w:pStyle w:val="3"/>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行政处罚决定书</w:t>
      </w:r>
      <w:bookmarkEnd w:id="0"/>
      <w:bookmarkEnd w:id="1"/>
      <w:bookmarkEnd w:id="2"/>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outlineLvl w:val="9"/>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u w:val="single"/>
          <w:shd w:val="clear" w:color="auto" w:fill="FFFFFF"/>
          <w:lang w:eastAsia="zh-CN" w:bidi="ar"/>
        </w:rPr>
        <w:t>凤</w:t>
      </w:r>
      <w:r>
        <w:rPr>
          <w:rFonts w:hint="eastAsia" w:ascii="仿宋_GB2312" w:hAnsi="仿宋_GB2312" w:eastAsia="仿宋_GB2312" w:cs="仿宋_GB2312"/>
          <w:color w:val="auto"/>
          <w:sz w:val="32"/>
          <w:szCs w:val="32"/>
          <w:shd w:val="clear" w:color="auto" w:fill="FFFFFF"/>
          <w:lang w:bidi="ar"/>
        </w:rPr>
        <w:t>农</w:t>
      </w:r>
      <w:r>
        <w:rPr>
          <w:rFonts w:hint="eastAsia" w:ascii="仿宋_GB2312" w:hAnsi="仿宋_GB2312" w:eastAsia="仿宋_GB2312" w:cs="仿宋_GB2312"/>
          <w:color w:val="auto"/>
          <w:sz w:val="32"/>
          <w:szCs w:val="32"/>
          <w:shd w:val="clear" w:color="auto" w:fill="FFFFFF"/>
          <w:lang w:eastAsia="zh-CN" w:bidi="ar"/>
        </w:rPr>
        <w:t>（农产品）</w:t>
      </w:r>
      <w:r>
        <w:rPr>
          <w:rFonts w:hint="eastAsia" w:ascii="仿宋_GB2312" w:hAnsi="仿宋_GB2312" w:eastAsia="仿宋_GB2312" w:cs="仿宋_GB2312"/>
          <w:color w:val="auto"/>
          <w:sz w:val="32"/>
          <w:szCs w:val="32"/>
          <w:shd w:val="clear" w:color="auto" w:fill="FFFFFF"/>
          <w:lang w:bidi="ar"/>
        </w:rPr>
        <w:t>罚〔</w:t>
      </w:r>
      <w:r>
        <w:rPr>
          <w:rFonts w:hint="eastAsia" w:ascii="仿宋_GB2312" w:hAnsi="仿宋_GB2312" w:eastAsia="仿宋_GB2312" w:cs="仿宋_GB2312"/>
          <w:color w:val="auto"/>
          <w:sz w:val="32"/>
          <w:szCs w:val="32"/>
          <w:shd w:val="clear" w:color="auto" w:fill="FFFFFF"/>
          <w:lang w:val="en-US" w:eastAsia="zh-CN" w:bidi="ar"/>
        </w:rPr>
        <w:t>2025</w:t>
      </w:r>
      <w:r>
        <w:rPr>
          <w:rFonts w:hint="eastAsia" w:ascii="仿宋_GB2312" w:hAnsi="仿宋_GB2312" w:eastAsia="仿宋_GB2312" w:cs="仿宋_GB2312"/>
          <w:color w:val="auto"/>
          <w:sz w:val="32"/>
          <w:szCs w:val="32"/>
          <w:shd w:val="clear" w:color="auto" w:fill="FFFFFF"/>
          <w:lang w:bidi="ar"/>
        </w:rPr>
        <w:t>〕</w:t>
      </w:r>
      <w:r>
        <w:rPr>
          <w:rFonts w:hint="eastAsia" w:ascii="仿宋_GB2312" w:hAnsi="仿宋_GB2312" w:eastAsia="仿宋_GB2312" w:cs="仿宋_GB2312"/>
          <w:color w:val="auto"/>
          <w:sz w:val="32"/>
          <w:szCs w:val="32"/>
          <w:u w:val="single"/>
          <w:shd w:val="clear" w:color="auto" w:fill="FFFFFF"/>
          <w:lang w:val="en-US" w:eastAsia="zh-CN" w:bidi="ar"/>
        </w:rPr>
        <w:t>1</w:t>
      </w:r>
      <w:r>
        <w:rPr>
          <w:rFonts w:hint="eastAsia" w:ascii="仿宋_GB2312" w:hAnsi="仿宋_GB2312" w:eastAsia="仿宋_GB2312" w:cs="仿宋_GB2312"/>
          <w:color w:val="auto"/>
          <w:sz w:val="32"/>
          <w:szCs w:val="32"/>
          <w:shd w:val="clear" w:color="auto" w:fill="FFFFFF"/>
          <w:lang w:bidi="ar"/>
        </w:rPr>
        <w:t>号</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baseline"/>
        <w:outlineLvl w:val="9"/>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当事人：</w:t>
      </w:r>
      <w:r>
        <w:rPr>
          <w:rFonts w:hint="eastAsia" w:ascii="仿宋_GB2312" w:hAnsi="仿宋_GB2312" w:eastAsia="仿宋_GB2312" w:cs="仿宋_GB2312"/>
          <w:color w:val="auto"/>
          <w:sz w:val="32"/>
          <w:szCs w:val="32"/>
          <w:lang w:eastAsia="zh-CN"/>
        </w:rPr>
        <w:t>王建吕，男，彝族，出生日期：</w:t>
      </w:r>
      <w:r>
        <w:rPr>
          <w:rFonts w:hint="eastAsia" w:ascii="仿宋_GB2312" w:hAnsi="仿宋_GB2312" w:eastAsia="仿宋_GB2312" w:cs="仿宋_GB2312"/>
          <w:color w:val="auto"/>
          <w:sz w:val="32"/>
          <w:szCs w:val="32"/>
          <w:lang w:val="en-US" w:eastAsia="zh-CN"/>
        </w:rPr>
        <w:t>1988年</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color w:val="auto"/>
          <w:sz w:val="32"/>
          <w:szCs w:val="32"/>
          <w:lang w:val="en-US" w:eastAsia="zh-CN"/>
        </w:rPr>
        <w:t>月</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rPr>
        <w:t>住所</w:t>
      </w:r>
      <w:r>
        <w:rPr>
          <w:rFonts w:hint="eastAsia" w:ascii="仿宋_GB2312" w:hAnsi="仿宋_GB2312" w:eastAsia="仿宋_GB2312" w:cs="仿宋_GB2312"/>
          <w:color w:val="auto"/>
          <w:sz w:val="32"/>
          <w:szCs w:val="32"/>
          <w:lang w:eastAsia="zh-CN"/>
        </w:rPr>
        <w:t>：云南省临沧市凤庆县诗礼乡朝阳村委会</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身份证件号码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533522</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color w:val="auto"/>
          <w:sz w:val="32"/>
          <w:szCs w:val="32"/>
          <w:lang w:val="en-US" w:eastAsia="zh-CN"/>
        </w:rPr>
        <w:t>0214。</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color w:val="auto"/>
          <w:sz w:val="32"/>
          <w:szCs w:val="32"/>
          <w:lang w:eastAsia="zh-CN"/>
        </w:rPr>
        <w:t>王建吕</w:t>
      </w:r>
      <w:r>
        <w:rPr>
          <w:rFonts w:hint="eastAsia" w:ascii="仿宋_GB2312" w:hAnsi="仿宋_GB2312" w:eastAsia="仿宋_GB2312" w:cs="仿宋_GB2312"/>
          <w:color w:val="auto"/>
          <w:sz w:val="32"/>
          <w:szCs w:val="32"/>
        </w:rPr>
        <w:t>销售病死、毒死或者死因不明的动物及其产品</w:t>
      </w:r>
      <w:r>
        <w:rPr>
          <w:rFonts w:hint="eastAsia" w:ascii="仿宋_GB2312" w:hAnsi="仿宋_GB2312" w:eastAsia="仿宋_GB2312" w:cs="仿宋_GB2312"/>
          <w:color w:val="000000" w:themeColor="text1"/>
          <w:sz w:val="32"/>
          <w:szCs w:val="32"/>
          <w:lang w:eastAsia="zh-CN"/>
          <w14:textFill>
            <w14:solidFill>
              <w14:schemeClr w14:val="tx1"/>
            </w14:solidFill>
          </w14:textFill>
        </w:rPr>
        <w:t>一案，经本机关依法调查，现查明：</w:t>
      </w:r>
      <w:r>
        <w:rPr>
          <w:rFonts w:hint="eastAsia" w:ascii="仿宋_GB2312" w:hAnsi="仿宋_GB2312" w:eastAsia="仿宋_GB2312" w:cs="仿宋_GB2312"/>
          <w:color w:val="auto"/>
          <w:sz w:val="32"/>
          <w:szCs w:val="32"/>
          <w:lang w:val="en-US" w:eastAsia="zh-CN"/>
        </w:rPr>
        <w:t>2025年2月24日，我机关接凤庆县公安局涉嫌违法案件移送书：凤公（森）移字〔2025〕01号，王建吕涉嫌生产、销售不符合安全标准的食品案。该案经凤庆县公安局商情凤庆县人民检察院会商后，认为王建吕系初犯，违法行为情节轻微，未造成现实危害及严重后果，2024年12月5日凤庆县公安局对当事人王建吕下达了撤销案件决定书。随案移送材料有：撤销案件决定书、户籍证明、传唤证（王建吕）、传唤通知书（王建吕）、犯罪嫌疑人诉讼权利义务告知书、讯问笔录（王建吕）、永平县公安局线索核查等案件材料。</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接案后，报请机关主要负责人同意，对</w:t>
      </w:r>
      <w:r>
        <w:rPr>
          <w:rFonts w:hint="eastAsia" w:ascii="仿宋_GB2312" w:hAnsi="仿宋_GB2312" w:eastAsia="仿宋_GB2312" w:cs="仿宋_GB2312"/>
          <w:color w:val="auto"/>
          <w:sz w:val="32"/>
          <w:szCs w:val="32"/>
          <w:lang w:val="en-US" w:eastAsia="zh-CN"/>
        </w:rPr>
        <w:t>王建吕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销售死因不明的动物及其产品的行为，依照《中华人民共和国农产品质量安全法》第三十六条第一款第五项、《中华人民共和国行政处罚法》第三十六条、第五十四条的规定于2025年2月28日予以立案查处。</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3月6日，本机关对违法行为人王建吕及证人毕金荣、桑周品下达了《询问通知书》（凤农询﹝2025﹞4号）、（凤农询﹝2025﹞6号）、（凤农询﹝2025﹞7号）。当日16时13分至17时50分，执法人员在诗礼乡朝阳村委会对王建吕、毕金荣、桑周品进行询问并制作了询问笔录。当事人王建吕对其违法事实及凤庆县公安局移交涉嫌违法案件移送书的所有材料予以认可。</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查，王建吕销售病死、毒死或者死因不明的动物及其产品的行为违反了《中华人民共和国农产品质量安全法》第三十六条第一款第五项“有下列情形之一的农产品，不得销售：……（五）病死、毒死或者死因不明的动物及其产品；”的规定。上述事实，主要有以下证据证明：</w:t>
      </w:r>
    </w:p>
    <w:p>
      <w:pPr>
        <w:pStyle w:val="2"/>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bidi="ar-SA"/>
          <w14:textFill>
            <w14:solidFill>
              <w14:schemeClr w14:val="tx1"/>
            </w14:solidFill>
          </w14:textFill>
        </w:rPr>
        <w:t>证据一：王建吕身份证复印件1份，证明王建吕是违法行为的主体。</w:t>
      </w:r>
    </w:p>
    <w:p>
      <w:pPr>
        <w:pStyle w:val="2"/>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bidi="ar-SA"/>
          <w14:textFill>
            <w14:solidFill>
              <w14:schemeClr w14:val="tx1"/>
            </w14:solidFill>
          </w14:textFill>
        </w:rPr>
        <w:t>证据二：凤庆县农业农村局对当事人王建吕询问笔录1份、询问照片2张，对证人毕金荣询问笔录1份、询问照片1张，对证人桑周品询问笔录1份、询问照片1张。凤庆县公安局移交涉嫌违法案件移送书（撤销案件决定书、户籍证明、传唤证（王建吕）、传唤通知书（王建吕）、犯罪嫌疑人诉讼权利义务告知书、讯问笔录（王建吕）、永平县公安局线索核查材料等）相关材料。证明当事人王建吕销售病死、毒死或者死因不明的动物及其产品的违法事实及定性依据。</w:t>
      </w:r>
    </w:p>
    <w:p>
      <w:pPr>
        <w:pStyle w:val="2"/>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bidi="ar-SA"/>
          <w14:textFill>
            <w14:solidFill>
              <w14:schemeClr w14:val="tx1"/>
            </w14:solidFill>
          </w14:textFill>
        </w:rPr>
        <w:t>证据三：凤庆县农业农村局立案审批表1份，凤庆县农业农村局询问通知书3份，送达回证3份，证明行政执法程序的合法性。</w:t>
      </w:r>
    </w:p>
    <w:p>
      <w:pPr>
        <w:pStyle w:val="2"/>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bidi="ar-SA"/>
          <w14:textFill>
            <w14:solidFill>
              <w14:schemeClr w14:val="tx1"/>
            </w14:solidFill>
          </w14:textFill>
        </w:rPr>
        <w:t>上述证据形式合法，内容客观真实，具有关联性，能够相互印证，具备客观性、关联性、合法性特征，其证明效力予以确认。</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案件调查期间，当事人王建吕未提出陈述、申辩。2025年3月27日，本机关向当事人</w:t>
      </w:r>
      <w:r>
        <w:rPr>
          <w:rFonts w:hint="eastAsia" w:ascii="仿宋_GB2312" w:hAnsi="仿宋_GB2312" w:eastAsia="仿宋_GB2312" w:cs="仿宋_GB2312"/>
          <w:b w:val="0"/>
          <w:bCs/>
          <w:color w:val="000000" w:themeColor="text1"/>
          <w:sz w:val="32"/>
          <w:szCs w:val="32"/>
          <w:lang w:val="en-US" w:eastAsia="zh-CN" w:bidi="ar-SA"/>
          <w14:textFill>
            <w14:solidFill>
              <w14:schemeClr w14:val="tx1"/>
            </w14:solidFill>
          </w14:textFill>
        </w:rPr>
        <w:t>王建吕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下达了</w:t>
      </w:r>
      <w:bookmarkStart w:id="3" w:name="_Toc108468122"/>
      <w:bookmarkStart w:id="4" w:name="_Toc29744263"/>
      <w:bookmarkStart w:id="5" w:name="事先告知书（使用一般案件）"/>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《凤庆县农业农村局行政处罚事先告知书</w:t>
      </w:r>
      <w:bookmarkEnd w:id="3"/>
      <w:bookmarkEnd w:id="4"/>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凤农（农产品）罚告〔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，在规定时间内，王建吕未提出陈述申辩。</w:t>
      </w:r>
      <w:bookmarkEnd w:id="5"/>
      <w:r>
        <w:rPr>
          <w:rFonts w:hint="eastAsia" w:ascii="仿宋_GB2312" w:hAnsi="仿宋_GB2312" w:eastAsia="仿宋_GB2312" w:cs="仿宋_GB2312"/>
          <w:b w:val="0"/>
          <w:bCs/>
          <w:kern w:val="2"/>
          <w:sz w:val="32"/>
          <w:szCs w:val="32"/>
          <w:shd w:val="clear" w:color="auto" w:fill="auto"/>
          <w:lang w:val="en-US" w:eastAsia="zh-CN" w:bidi="ar-SA"/>
        </w:rPr>
        <w:t>根据《农业行政处罚程序规定》第五十九条第二款“</w:t>
      </w:r>
      <w:r>
        <w:rPr>
          <w:rFonts w:hint="eastAsia" w:ascii="仿宋_GB2312" w:hAnsi="仿宋_GB2312" w:eastAsia="仿宋_GB2312" w:cs="仿宋_GB2312"/>
          <w:sz w:val="32"/>
          <w:szCs w:val="32"/>
        </w:rPr>
        <w:t>前款所称的较大数额、较大价值，县级以上地方人民政府农业农村主管部门按所在省、自治区、直辖市人民代表大会及其常委会或者人民政府规定的标准执行。农业农村部规定的较大数额、较大价值，对个人是指超过一万元，对法人或者其他组织是指超过十万元。</w:t>
      </w:r>
      <w:r>
        <w:rPr>
          <w:rFonts w:hint="eastAsia" w:ascii="仿宋_GB2312" w:hAnsi="仿宋_GB2312" w:eastAsia="仿宋_GB2312" w:cs="仿宋_GB2312"/>
          <w:b w:val="0"/>
          <w:bCs/>
          <w:kern w:val="2"/>
          <w:sz w:val="32"/>
          <w:szCs w:val="32"/>
          <w:shd w:val="clear" w:color="auto" w:fill="auto"/>
          <w:lang w:val="en-US" w:eastAsia="zh-CN" w:bidi="ar-SA"/>
        </w:rPr>
        <w:t> ”的规定，本案不适用听证程序。</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本机关认为：</w:t>
      </w:r>
      <w:r>
        <w:rPr>
          <w:rFonts w:hint="eastAsia" w:ascii="仿宋_GB2312" w:hAnsi="仿宋_GB2312" w:eastAsia="仿宋_GB2312" w:cs="仿宋_GB2312"/>
          <w:b w:val="0"/>
          <w:bCs/>
          <w:color w:val="000000" w:themeColor="text1"/>
          <w:sz w:val="32"/>
          <w:szCs w:val="32"/>
          <w:lang w:val="en-US" w:eastAsia="zh-CN" w:bidi="ar-SA"/>
          <w14:textFill>
            <w14:solidFill>
              <w14:schemeClr w14:val="tx1"/>
            </w14:solidFill>
          </w14:textFill>
        </w:rPr>
        <w:t>王建吕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销售病死、毒死或者死因不明的动物及其产品</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违法行为事实清楚，证据确凿，应依据《中华人民共和国农产品质量安全法》第七十条第一款第三项“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三）销售病死、毒死或者死因不明的动物及其产品。”规定给予行政处罚。</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鉴于当事人王建吕能积极配合执法人员调查，案发时动物产品虽已无法追回，但其属初次违法，违法行为未造成现实危害及严重后果，造成的社会影响较小，有从轻情节。参照《云南省农业行政处罚裁量基准》（2023版）第5项“初次违法且责令停止生产经营、追回已经销售的农产品，对违法生产经营的农产品进行无害化处理或者予以监督销毁后不符合规定，或者造成社会影响较小的。没收违法所得，并可以没收用于违法生产经营的工具、设备、原料等。物品货值金额一千元以上三千元以下的，处十万元以上十二万元以下罚款；货值金额一万元以上三万元以下的，并处货值金额十五倍以上二十倍以下罚款；对农户，并处一千元以上三千元以下罚款。”之规定</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本机关责令王建吕立即停止违法行为，并作出如下处罚决定：</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1.没收违法所得1200.00元。                              </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2.处以罚款1500.00元。 </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以上罚没合计2700.00元。</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当事人必须在收到本处罚决定书之日起15日内持本决定书到</w:t>
      </w:r>
      <w:r>
        <w:rPr>
          <w:rFonts w:hint="eastAsia" w:ascii="仿宋_GB2312" w:hAnsi="仿宋_GB2312" w:eastAsia="仿宋_GB2312" w:cs="仿宋_GB2312"/>
          <w:color w:val="auto"/>
          <w:sz w:val="32"/>
          <w:szCs w:val="32"/>
          <w:lang w:val="en-US" w:eastAsia="zh-CN"/>
        </w:rPr>
        <w:t>中国农业银行股份有限公司凤庆县支行</w:t>
      </w:r>
      <w:r>
        <w:rPr>
          <w:rFonts w:hint="eastAsia" w:ascii="仿宋_GB2312" w:hAnsi="仿宋_GB2312" w:eastAsia="仿宋_GB2312" w:cs="仿宋_GB2312"/>
          <w:color w:val="auto"/>
          <w:sz w:val="32"/>
          <w:szCs w:val="32"/>
        </w:rPr>
        <w:t>缴纳罚款。逾期不按规定缴纳罚款的，每日按罚款数额的百分之三加处罚款。</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当事人对本处罚决定不服的，可以在收到本处罚决定书之日起</w:t>
      </w:r>
      <w:r>
        <w:rPr>
          <w:rFonts w:hint="eastAsia" w:ascii="仿宋_GB2312" w:hAnsi="仿宋_GB2312" w:eastAsia="仿宋_GB2312" w:cs="仿宋_GB2312"/>
          <w:color w:val="auto"/>
          <w:sz w:val="32"/>
          <w:szCs w:val="32"/>
          <w:lang w:val="en-US" w:eastAsia="zh-CN"/>
        </w:rPr>
        <w:t>60</w:t>
      </w:r>
      <w:r>
        <w:rPr>
          <w:rFonts w:hint="eastAsia" w:ascii="仿宋_GB2312" w:hAnsi="仿宋_GB2312" w:eastAsia="仿宋_GB2312" w:cs="仿宋_GB2312"/>
          <w:color w:val="auto"/>
          <w:sz w:val="32"/>
          <w:szCs w:val="32"/>
        </w:rPr>
        <w:t>日内向</w:t>
      </w:r>
      <w:r>
        <w:rPr>
          <w:rFonts w:hint="eastAsia" w:ascii="仿宋_GB2312" w:hAnsi="仿宋_GB2312" w:eastAsia="仿宋_GB2312" w:cs="仿宋_GB2312"/>
          <w:color w:val="auto"/>
          <w:sz w:val="32"/>
          <w:szCs w:val="32"/>
          <w:lang w:eastAsia="zh-CN"/>
        </w:rPr>
        <w:t>凤庆县人民政府</w:t>
      </w:r>
      <w:r>
        <w:rPr>
          <w:rFonts w:hint="eastAsia" w:ascii="仿宋_GB2312" w:hAnsi="仿宋_GB2312" w:eastAsia="仿宋_GB2312" w:cs="仿宋_GB2312"/>
          <w:color w:val="auto"/>
          <w:sz w:val="32"/>
          <w:szCs w:val="32"/>
        </w:rPr>
        <w:t>申请行政复议；或者</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个月内向</w:t>
      </w:r>
      <w:r>
        <w:rPr>
          <w:rFonts w:hint="eastAsia" w:ascii="仿宋_GB2312" w:hAnsi="仿宋_GB2312" w:eastAsia="仿宋_GB2312" w:cs="仿宋_GB2312"/>
          <w:color w:val="auto"/>
          <w:sz w:val="32"/>
          <w:szCs w:val="32"/>
          <w:lang w:eastAsia="zh-CN"/>
        </w:rPr>
        <w:t>凤庆县</w:t>
      </w:r>
      <w:r>
        <w:rPr>
          <w:rFonts w:hint="eastAsia" w:ascii="仿宋_GB2312" w:hAnsi="仿宋_GB2312" w:eastAsia="仿宋_GB2312" w:cs="仿宋_GB2312"/>
          <w:color w:val="auto"/>
          <w:sz w:val="32"/>
          <w:szCs w:val="32"/>
        </w:rPr>
        <w:t>人民法院提起行政诉讼。行政复议和行政诉讼期间，本处罚决定不停止执行。</w:t>
      </w:r>
    </w:p>
    <w:p>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auto"/>
          <w:sz w:val="32"/>
          <w:szCs w:val="32"/>
        </w:rPr>
        <w:t>当事人逾期不申请行政复议或者</w:t>
      </w:r>
      <w:r>
        <w:rPr>
          <w:rFonts w:hint="eastAsia" w:ascii="仿宋_GB2312" w:hAnsi="仿宋_GB2312" w:eastAsia="仿宋_GB2312" w:cs="仿宋_GB2312"/>
          <w:color w:val="auto"/>
          <w:sz w:val="32"/>
          <w:szCs w:val="32"/>
          <w:lang w:eastAsia="zh-CN"/>
        </w:rPr>
        <w:t>不</w:t>
      </w:r>
      <w:r>
        <w:rPr>
          <w:rFonts w:hint="eastAsia" w:ascii="仿宋_GB2312" w:hAnsi="仿宋_GB2312" w:eastAsia="仿宋_GB2312" w:cs="仿宋_GB2312"/>
          <w:color w:val="auto"/>
          <w:sz w:val="32"/>
          <w:szCs w:val="32"/>
        </w:rPr>
        <w:t>提起行政诉讼，也不履行本行政处罚决定的，本机关将依法申请人民法院强制</w:t>
      </w:r>
      <w:r>
        <w:rPr>
          <w:rFonts w:hint="eastAsia" w:ascii="仿宋_GB2312" w:hAnsi="仿宋_GB2312" w:eastAsia="仿宋_GB2312" w:cs="仿宋_GB2312"/>
          <w:color w:val="auto"/>
          <w:sz w:val="32"/>
          <w:szCs w:val="32"/>
          <w:lang w:eastAsia="zh-CN"/>
        </w:rPr>
        <w:t>执行。</w:t>
      </w:r>
    </w:p>
    <w:p>
      <w:pPr>
        <w:keepNext w:val="0"/>
        <w:keepLines w:val="0"/>
        <w:pageBreakBefore w:val="0"/>
        <w:widowControl/>
        <w:kinsoku/>
        <w:wordWrap/>
        <w:overflowPunct/>
        <w:topLinePunct w:val="0"/>
        <w:autoSpaceDE/>
        <w:autoSpaceDN/>
        <w:bidi w:val="0"/>
        <w:spacing w:line="560" w:lineRule="exact"/>
        <w:ind w:left="319" w:leftChars="133" w:firstLine="320" w:firstLineChars="100"/>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line="560" w:lineRule="exact"/>
        <w:ind w:left="319" w:leftChars="133" w:firstLine="320" w:firstLineChars="100"/>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ind w:left="319" w:leftChars="133" w:firstLine="320" w:firstLineChars="100"/>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ind w:left="319" w:leftChars="133" w:firstLine="3840" w:firstLineChars="1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凤庆县农业农村局</w:t>
      </w:r>
    </w:p>
    <w:p>
      <w:pPr>
        <w:keepNext w:val="0"/>
        <w:keepLines w:val="0"/>
        <w:pageBreakBefore w:val="0"/>
        <w:widowControl/>
        <w:kinsoku/>
        <w:wordWrap/>
        <w:overflowPunct/>
        <w:topLinePunct w:val="0"/>
        <w:autoSpaceDE/>
        <w:autoSpaceDN/>
        <w:bidi w:val="0"/>
        <w:spacing w:line="560" w:lineRule="exact"/>
        <w:ind w:firstLine="4160" w:firstLineChars="13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2025年4月3日</w:t>
      </w: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B4029"/>
    <w:rsid w:val="004D02DA"/>
    <w:rsid w:val="00EB4106"/>
    <w:rsid w:val="01813193"/>
    <w:rsid w:val="0666541C"/>
    <w:rsid w:val="06D153CD"/>
    <w:rsid w:val="0C562867"/>
    <w:rsid w:val="11805B38"/>
    <w:rsid w:val="15F445D4"/>
    <w:rsid w:val="1649443A"/>
    <w:rsid w:val="1A1D514E"/>
    <w:rsid w:val="1B6A334C"/>
    <w:rsid w:val="1CC20EE7"/>
    <w:rsid w:val="1D731CC5"/>
    <w:rsid w:val="1E672F9B"/>
    <w:rsid w:val="1F877F26"/>
    <w:rsid w:val="21A81DB8"/>
    <w:rsid w:val="238407F8"/>
    <w:rsid w:val="2422216F"/>
    <w:rsid w:val="249B7330"/>
    <w:rsid w:val="27B22309"/>
    <w:rsid w:val="27B57234"/>
    <w:rsid w:val="28560C4C"/>
    <w:rsid w:val="2C0C75DF"/>
    <w:rsid w:val="2C4977EC"/>
    <w:rsid w:val="2C5C2248"/>
    <w:rsid w:val="2CE34568"/>
    <w:rsid w:val="33E94031"/>
    <w:rsid w:val="34D144A8"/>
    <w:rsid w:val="356D6D0D"/>
    <w:rsid w:val="365113D4"/>
    <w:rsid w:val="36D43483"/>
    <w:rsid w:val="377D69BF"/>
    <w:rsid w:val="37A9590C"/>
    <w:rsid w:val="38601B20"/>
    <w:rsid w:val="41705D1E"/>
    <w:rsid w:val="41D378C7"/>
    <w:rsid w:val="41F6702C"/>
    <w:rsid w:val="4319167B"/>
    <w:rsid w:val="433D0BEB"/>
    <w:rsid w:val="43B0539F"/>
    <w:rsid w:val="43DC6D2B"/>
    <w:rsid w:val="46FE64DE"/>
    <w:rsid w:val="4991186D"/>
    <w:rsid w:val="4D3B1CB7"/>
    <w:rsid w:val="4EE978F7"/>
    <w:rsid w:val="50154147"/>
    <w:rsid w:val="56CA2B1C"/>
    <w:rsid w:val="58486601"/>
    <w:rsid w:val="59A339EA"/>
    <w:rsid w:val="5C37157F"/>
    <w:rsid w:val="5D007115"/>
    <w:rsid w:val="5F8B0B4A"/>
    <w:rsid w:val="60060FB0"/>
    <w:rsid w:val="62520DCF"/>
    <w:rsid w:val="67CA26C9"/>
    <w:rsid w:val="6B8B4029"/>
    <w:rsid w:val="6D185D1C"/>
    <w:rsid w:val="6D5A4307"/>
    <w:rsid w:val="700E030C"/>
    <w:rsid w:val="70320E5A"/>
    <w:rsid w:val="70BF5F68"/>
    <w:rsid w:val="72325F7B"/>
    <w:rsid w:val="73FF60D5"/>
    <w:rsid w:val="743A7453"/>
    <w:rsid w:val="7477064E"/>
    <w:rsid w:val="761377C6"/>
    <w:rsid w:val="794059FE"/>
    <w:rsid w:val="79E8730C"/>
    <w:rsid w:val="7A13526E"/>
    <w:rsid w:val="7A3E3B83"/>
    <w:rsid w:val="7C6A08EF"/>
    <w:rsid w:val="7FB87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cs="宋体" w:eastAsiaTheme="minorEastAsia"/>
      <w:sz w:val="24"/>
      <w:szCs w:val="24"/>
      <w:lang w:val="en-US" w:eastAsia="zh-CN" w:bidi="ar-SA"/>
    </w:rPr>
  </w:style>
  <w:style w:type="paragraph" w:styleId="3">
    <w:name w:val="heading 1"/>
    <w:basedOn w:val="1"/>
    <w:next w:val="1"/>
    <w:qFormat/>
    <w:uiPriority w:val="0"/>
    <w:pPr>
      <w:widowControl/>
      <w:shd w:val="clear" w:color="auto" w:fill="FFFFFF"/>
      <w:jc w:val="center"/>
      <w:textAlignment w:val="baseline"/>
      <w:outlineLvl w:val="0"/>
    </w:pPr>
    <w:rPr>
      <w:rFonts w:ascii="宋体" w:hAnsi="宋体" w:eastAsia="华文中宋"/>
      <w:b/>
      <w:kern w:val="0"/>
      <w:sz w:val="44"/>
      <w:szCs w:val="44"/>
      <w:shd w:val="clear" w:color="auto" w:fill="FFFFFF"/>
    </w:rPr>
  </w:style>
  <w:style w:type="paragraph" w:styleId="2">
    <w:name w:val="heading 2"/>
    <w:basedOn w:val="3"/>
    <w:next w:val="1"/>
    <w:link w:val="7"/>
    <w:unhideWhenUsed/>
    <w:qFormat/>
    <w:uiPriority w:val="0"/>
    <w:pPr>
      <w:outlineLvl w:val="1"/>
    </w:p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character" w:customStyle="1" w:styleId="7">
    <w:name w:val="标题 2 字符"/>
    <w:link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5</Pages>
  <Words>2252</Words>
  <Characters>2343</Characters>
  <Lines>0</Lines>
  <Paragraphs>0</Paragraphs>
  <TotalTime>0</TotalTime>
  <ScaleCrop>false</ScaleCrop>
  <LinksUpToDate>false</LinksUpToDate>
  <CharactersWithSpaces>2455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2023-11-22T01:14:00Z</dcterms:created>
  <dc:creator>Administrator</dc:creator>
  <cp:lastModifiedBy>mhdn</cp:lastModifiedBy>
  <cp:lastPrinted>2025-04-03T02:09:00Z</cp:lastPrinted>
  <dcterms:modified xsi:type="dcterms:W3CDTF">2025-04-07T09:58:19Z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KSOTemplateDocerSaveRecord">
    <vt:lpwstr>eyJoZGlkIjoiNGE4OWVhM2NmOGExNzhmODk1ODJhMWQzZjQ2MzBmMjUiLCJ1c2VySWQiOiI1MTgwMjA4NzAifQ==</vt:lpwstr>
  </property>
  <property fmtid="{D5CDD505-2E9C-101B-9397-08002B2CF9AE}" pid="4" name="ICV">
    <vt:lpwstr>EB14080A02D341E58D65CA65D3AD1D2D_12</vt:lpwstr>
  </property>
</Properties>
</file>