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凤庆县</w:t>
      </w:r>
      <w:r>
        <w:rPr>
          <w:rFonts w:hint="default" w:ascii="Times New Roman" w:hAnsi="Times New Roman" w:eastAsia="方正小标宋_GBK" w:cs="Times New Roman"/>
          <w:sz w:val="44"/>
          <w:szCs w:val="44"/>
          <w:lang w:val="en-US" w:eastAsia="zh-CN"/>
        </w:rPr>
        <w:t>自查自验情况表</w:t>
      </w:r>
    </w:p>
    <w:p>
      <w:pPr>
        <w:spacing w:line="560" w:lineRule="exact"/>
        <w:jc w:val="both"/>
        <w:rPr>
          <w:rFonts w:hint="eastAsia" w:eastAsia="方正仿宋_GBK"/>
          <w:sz w:val="32"/>
          <w:szCs w:val="32"/>
        </w:rPr>
      </w:pPr>
      <w:r>
        <w:rPr>
          <w:rFonts w:hint="eastAsia" w:eastAsia="方正仿宋_GBK"/>
          <w:sz w:val="32"/>
          <w:szCs w:val="32"/>
        </w:rPr>
        <w:t>自查自验组织单位：</w:t>
      </w:r>
      <w:r>
        <w:rPr>
          <w:rFonts w:hint="eastAsia" w:eastAsia="方正仿宋_GBK"/>
          <w:sz w:val="32"/>
          <w:szCs w:val="32"/>
          <w:lang w:eastAsia="zh-CN"/>
        </w:rPr>
        <w:t>凤庆县人民政府（盖章）</w:t>
      </w:r>
      <w:r>
        <w:rPr>
          <w:rFonts w:hint="eastAsia" w:eastAsia="方正仿宋_GBK"/>
          <w:sz w:val="32"/>
          <w:szCs w:val="32"/>
          <w:lang w:val="en-US" w:eastAsia="zh-CN"/>
        </w:rPr>
        <w:t xml:space="preserve"> </w:t>
      </w: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验收日期：</w:t>
      </w:r>
      <w:r>
        <w:rPr>
          <w:rFonts w:hint="eastAsia" w:eastAsia="方正仿宋_GBK"/>
          <w:sz w:val="32"/>
          <w:szCs w:val="32"/>
          <w:lang w:val="en-US" w:eastAsia="zh-CN"/>
        </w:rPr>
        <w:t>2023</w:t>
      </w:r>
      <w:r>
        <w:rPr>
          <w:rFonts w:hint="eastAsia" w:eastAsia="方正仿宋_GBK"/>
          <w:sz w:val="32"/>
          <w:szCs w:val="32"/>
        </w:rPr>
        <w:t>年</w:t>
      </w:r>
      <w:r>
        <w:rPr>
          <w:rFonts w:hint="eastAsia" w:eastAsia="方正仿宋_GBK"/>
          <w:sz w:val="32"/>
          <w:szCs w:val="32"/>
          <w:lang w:val="en-US" w:eastAsia="zh-CN"/>
        </w:rPr>
        <w:t>10</w:t>
      </w:r>
      <w:r>
        <w:rPr>
          <w:rFonts w:hint="eastAsia" w:eastAsia="方正仿宋_GBK"/>
          <w:sz w:val="32"/>
          <w:szCs w:val="32"/>
        </w:rPr>
        <w:t>月</w:t>
      </w:r>
      <w:r>
        <w:rPr>
          <w:rFonts w:hint="eastAsia" w:eastAsia="方正仿宋_GBK"/>
          <w:sz w:val="32"/>
          <w:szCs w:val="32"/>
          <w:lang w:val="en-US" w:eastAsia="zh-CN"/>
        </w:rPr>
        <w:t>25</w:t>
      </w:r>
      <w:r>
        <w:rPr>
          <w:rFonts w:hint="eastAsia" w:eastAsia="方正仿宋_GBK"/>
          <w:sz w:val="32"/>
          <w:szCs w:val="32"/>
        </w:rPr>
        <w:t>日</w:t>
      </w:r>
    </w:p>
    <w:tbl>
      <w:tblPr>
        <w:tblStyle w:val="8"/>
        <w:tblW w:w="14955" w:type="dxa"/>
        <w:tblInd w:w="-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5"/>
        <w:gridCol w:w="1635"/>
        <w:gridCol w:w="1440"/>
        <w:gridCol w:w="1125"/>
        <w:gridCol w:w="795"/>
        <w:gridCol w:w="525"/>
        <w:gridCol w:w="330"/>
        <w:gridCol w:w="615"/>
        <w:gridCol w:w="795"/>
        <w:gridCol w:w="420"/>
        <w:gridCol w:w="85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515" w:type="dxa"/>
            <w:vMerge w:val="restart"/>
            <w:noWrap w:val="0"/>
            <w:vAlign w:val="center"/>
          </w:tcPr>
          <w:p>
            <w:pPr>
              <w:adjustRightInd w:val="0"/>
              <w:snapToGrid w:val="0"/>
              <w:spacing w:line="560" w:lineRule="exact"/>
              <w:jc w:val="center"/>
              <w:rPr>
                <w:rFonts w:hint="eastAsia" w:eastAsia="方正仿宋_GBK"/>
                <w:sz w:val="28"/>
                <w:szCs w:val="28"/>
                <w:lang w:val="en-US" w:eastAsia="zh-CN"/>
              </w:rPr>
            </w:pPr>
            <w:r>
              <w:rPr>
                <w:rFonts w:hint="eastAsia" w:eastAsia="方正仿宋_GBK"/>
                <w:sz w:val="28"/>
                <w:szCs w:val="28"/>
              </w:rPr>
              <w:t>问题</w:t>
            </w:r>
            <w:r>
              <w:rPr>
                <w:rFonts w:hint="eastAsia" w:eastAsia="方正仿宋_GBK"/>
                <w:sz w:val="28"/>
                <w:szCs w:val="28"/>
                <w:lang w:val="en-US" w:eastAsia="zh-CN"/>
              </w:rPr>
              <w:t>名称</w:t>
            </w:r>
          </w:p>
        </w:tc>
        <w:tc>
          <w:tcPr>
            <w:tcW w:w="7365" w:type="dxa"/>
            <w:gridSpan w:val="6"/>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eastAsia="方正仿宋_GBK"/>
                <w:sz w:val="28"/>
                <w:szCs w:val="28"/>
              </w:rPr>
            </w:pPr>
            <w:r>
              <w:rPr>
                <w:rFonts w:hint="eastAsia" w:ascii="Times New Roman" w:hAnsi="Times New Roman" w:eastAsia="方正楷体_GBK" w:cs="Times New Roman"/>
                <w:w w:val="80"/>
                <w:sz w:val="24"/>
                <w:lang w:val="en-US" w:eastAsia="zh-CN"/>
              </w:rPr>
              <w:t>城镇“两污”治理短板突出。部分乡镇和部门在城镇环境基础设施规划布局上统筹不够，工作落实有差距，城镇污水、生活垃圾收集处理设施等方面欠账较多，造成城市（县城）、乡镇镇区生产生活污水直排、混排，城乡垃圾处置能力弱，垃圾处理场渗滤液存量大等问题，制约着生态环境保护和质量改善。</w:t>
            </w:r>
          </w:p>
        </w:tc>
        <w:tc>
          <w:tcPr>
            <w:tcW w:w="174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问题类型</w:t>
            </w: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立行立改类              </w:t>
            </w:r>
            <w:r>
              <w:rPr>
                <w:rFonts w:hint="eastAsia" w:ascii="方正仿宋_GBK" w:hAnsi="方正仿宋_GBK" w:eastAsia="方正仿宋_GBK" w:cs="方正仿宋_GBK"/>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515" w:type="dxa"/>
            <w:vMerge w:val="continue"/>
            <w:noWrap w:val="0"/>
            <w:vAlign w:val="center"/>
          </w:tcPr>
          <w:p>
            <w:pPr>
              <w:adjustRightInd w:val="0"/>
              <w:snapToGrid w:val="0"/>
              <w:spacing w:line="560" w:lineRule="exact"/>
              <w:jc w:val="center"/>
            </w:pPr>
          </w:p>
        </w:tc>
        <w:tc>
          <w:tcPr>
            <w:tcW w:w="7365" w:type="dxa"/>
            <w:gridSpan w:val="6"/>
            <w:vMerge w:val="continue"/>
            <w:noWrap w:val="0"/>
            <w:vAlign w:val="center"/>
          </w:tcPr>
          <w:p>
            <w:pPr>
              <w:adjustRightInd w:val="0"/>
              <w:snapToGrid w:val="0"/>
              <w:spacing w:line="560" w:lineRule="exact"/>
              <w:jc w:val="center"/>
            </w:pPr>
          </w:p>
        </w:tc>
        <w:tc>
          <w:tcPr>
            <w:tcW w:w="1740" w:type="dxa"/>
            <w:gridSpan w:val="3"/>
            <w:vMerge w:val="continue"/>
            <w:noWrap w:val="0"/>
            <w:vAlign w:val="center"/>
          </w:tcPr>
          <w:p>
            <w:pPr>
              <w:adjustRightInd w:val="0"/>
              <w:snapToGrid w:val="0"/>
              <w:spacing w:line="560" w:lineRule="exact"/>
              <w:jc w:val="center"/>
            </w:pPr>
          </w:p>
        </w:tc>
        <w:tc>
          <w:tcPr>
            <w:tcW w:w="4335" w:type="dxa"/>
            <w:gridSpan w:val="3"/>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定期整改类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整改方案</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编制情况</w:t>
            </w:r>
          </w:p>
        </w:tc>
        <w:tc>
          <w:tcPr>
            <w:tcW w:w="18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A3"/>
            </w:r>
          </w:p>
        </w:tc>
        <w:tc>
          <w:tcPr>
            <w:tcW w:w="16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编制单位</w:t>
            </w:r>
          </w:p>
        </w:tc>
        <w:tc>
          <w:tcPr>
            <w:tcW w:w="388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凤庆县住房和城乡建设局</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组织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审核单位</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凤庆县人民政府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计划</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tc>
        <w:tc>
          <w:tcPr>
            <w:tcW w:w="7365"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left"/>
              <w:textAlignment w:val="auto"/>
              <w:outlineLvl w:val="9"/>
              <w:rPr>
                <w:rFonts w:hint="eastAsia" w:eastAsia="方正仿宋_GBK"/>
                <w:sz w:val="28"/>
                <w:szCs w:val="28"/>
              </w:rPr>
            </w:pPr>
            <w:r>
              <w:rPr>
                <w:rFonts w:hint="eastAsia" w:ascii="Times New Roman" w:hAnsi="Times New Roman" w:eastAsia="方正楷体_GBK" w:cs="Times New Roman"/>
                <w:w w:val="80"/>
                <w:sz w:val="24"/>
                <w:lang w:val="en-US" w:eastAsia="zh-CN"/>
              </w:rPr>
              <w:t>调整优化全县城乡生活污水垃圾处理设施布局，通过争取国家、省、市政策支持和加大地方投入力度，加快县城污水处理厂、乡镇污水处理设施、城乡垃圾收集转运等设施建设，压实设施运营管理责任，加大隐患排查整治力度，做到设施完善、管理到位、运行安全。</w:t>
            </w:r>
          </w:p>
        </w:tc>
        <w:tc>
          <w:tcPr>
            <w:tcW w:w="174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整改目标</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rPr>
            </w:pPr>
            <w:r>
              <w:rPr>
                <w:rFonts w:hint="eastAsia" w:eastAsia="方正仿宋_GBK"/>
                <w:sz w:val="28"/>
                <w:szCs w:val="28"/>
              </w:rPr>
              <w:t>完成情况</w:t>
            </w:r>
          </w:p>
        </w:tc>
        <w:tc>
          <w:tcPr>
            <w:tcW w:w="433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eastAsia="方正仿宋_GBK"/>
                <w:sz w:val="28"/>
                <w:szCs w:val="28"/>
                <w:lang w:eastAsia="zh-CN"/>
              </w:rPr>
            </w:pPr>
            <w:r>
              <w:rPr>
                <w:rFonts w:hint="eastAsia" w:eastAsia="方正仿宋_GBK"/>
                <w:sz w:val="28"/>
                <w:szCs w:val="28"/>
                <w:lang w:eastAsia="zh-CN"/>
              </w:rPr>
              <w:t>已完成整改，并长期坚持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955" w:type="dxa"/>
            <w:gridSpan w:val="1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80"/>
                <w:sz w:val="24"/>
                <w:lang w:val="en-US" w:eastAsia="zh-CN"/>
              </w:rPr>
            </w:pPr>
            <w:r>
              <w:rPr>
                <w:rFonts w:hint="eastAsia" w:ascii="Times New Roman" w:hAnsi="Times New Roman" w:eastAsia="方正楷体_GBK" w:cs="Times New Roman"/>
                <w:w w:val="80"/>
                <w:sz w:val="24"/>
                <w:lang w:val="en-US" w:eastAsia="zh-CN"/>
              </w:rPr>
              <w:t>措施1.从县级层面加强对污水处理、垃圾处理设施建设的统筹指导，合理确定设施的布局、规模等。</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lang w:eastAsia="zh-CN"/>
              </w:rPr>
            </w:pPr>
            <w:r>
              <w:rPr>
                <w:rFonts w:hint="eastAsia" w:ascii="Times New Roman" w:hAnsi="Times New Roman" w:eastAsia="方正楷体_GBK" w:cs="Times New Roman"/>
                <w:w w:val="90"/>
                <w:sz w:val="24"/>
                <w:lang w:val="en-US" w:eastAsia="zh-CN"/>
              </w:rPr>
              <w:t>凤庆县住房和城乡建设局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rPr>
            </w:pPr>
            <w:r>
              <w:rPr>
                <w:rFonts w:hint="eastAsia" w:ascii="Times New Roman" w:hAnsi="Times New Roman" w:eastAsia="方正楷体_GBK" w:cs="Times New Roman"/>
                <w:w w:val="80"/>
                <w:sz w:val="24"/>
                <w:lang w:val="en-US" w:eastAsia="zh-CN"/>
              </w:rPr>
              <w:t>已完成整改</w:t>
            </w:r>
            <w:r>
              <w:rPr>
                <w:rFonts w:hint="default" w:ascii="Times New Roman" w:hAnsi="Times New Roman" w:eastAsia="方正楷体_GBK" w:cs="Times New Roman"/>
                <w:w w:val="80"/>
                <w:sz w:val="24"/>
                <w:lang w:val="en-US" w:eastAsia="zh-CN"/>
              </w:rPr>
              <w:t>，并长期坚持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80"/>
                <w:sz w:val="24"/>
                <w:lang w:val="en-US" w:eastAsia="zh-CN"/>
              </w:rPr>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80"/>
                <w:sz w:val="24"/>
                <w:lang w:val="en-US" w:eastAsia="zh-CN"/>
              </w:rPr>
            </w:pPr>
            <w:r>
              <w:rPr>
                <w:rFonts w:hint="eastAsia" w:ascii="Times New Roman" w:hAnsi="Times New Roman" w:eastAsia="方正楷体_GBK" w:cs="Times New Roman"/>
                <w:w w:val="80"/>
                <w:sz w:val="24"/>
                <w:lang w:val="en-US" w:eastAsia="zh-CN"/>
              </w:rPr>
              <w:t>措施2：紧盯国家在污水垃圾治理、城市更新等方面的支持政策，加大项目资金争取力度，加大招商引资力度，加大地方资金投入力度，加快设施补短板，消除历史欠账。</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lang w:eastAsia="zh-CN"/>
              </w:rPr>
            </w:pPr>
            <w:r>
              <w:rPr>
                <w:rFonts w:hint="eastAsia" w:ascii="Times New Roman" w:hAnsi="Times New Roman" w:eastAsia="方正楷体_GBK" w:cs="Times New Roman"/>
                <w:w w:val="90"/>
                <w:sz w:val="24"/>
                <w:lang w:val="en-US" w:eastAsia="zh-CN"/>
              </w:rPr>
              <w:t>凤庆县住房和城乡建设局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rPr>
            </w:pPr>
            <w:r>
              <w:rPr>
                <w:rFonts w:hint="eastAsia" w:ascii="Times New Roman" w:hAnsi="Times New Roman" w:eastAsia="方正楷体_GBK" w:cs="Times New Roman"/>
                <w:w w:val="80"/>
                <w:sz w:val="24"/>
                <w:lang w:val="en-US" w:eastAsia="zh-CN"/>
              </w:rPr>
              <w:t>已</w:t>
            </w:r>
            <w:r>
              <w:rPr>
                <w:rFonts w:hint="eastAsia" w:eastAsia="方正楷体_GBK" w:cs="Times New Roman"/>
                <w:w w:val="80"/>
                <w:sz w:val="24"/>
                <w:lang w:val="en-US" w:eastAsia="zh-CN"/>
              </w:rPr>
              <w:t>取得阶段性成效</w:t>
            </w:r>
            <w:r>
              <w:rPr>
                <w:rFonts w:hint="default" w:ascii="Times New Roman" w:hAnsi="Times New Roman" w:eastAsia="方正楷体_GBK" w:cs="Times New Roman"/>
                <w:w w:val="80"/>
                <w:sz w:val="24"/>
                <w:lang w:val="en-US" w:eastAsia="zh-CN"/>
              </w:rPr>
              <w:t>，并长期坚持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499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outlineLvl w:val="9"/>
              <w:rPr>
                <w:rFonts w:hint="eastAsia" w:ascii="Times New Roman" w:hAnsi="Times New Roman" w:eastAsia="方正楷体_GBK" w:cs="Times New Roman"/>
                <w:w w:val="80"/>
                <w:sz w:val="24"/>
                <w:lang w:val="en-US" w:eastAsia="zh-CN"/>
              </w:rPr>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eastAsia="方正仿宋_GBK"/>
                <w:sz w:val="28"/>
                <w:szCs w:val="28"/>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80"/>
                <w:sz w:val="24"/>
                <w:lang w:val="en-US" w:eastAsia="zh-CN"/>
              </w:rPr>
              <w:t>措施3：不断补齐污水治理设施短板，</w:t>
            </w:r>
            <w:r>
              <w:rPr>
                <w:rFonts w:hint="default" w:ascii="Times New Roman" w:hAnsi="Times New Roman" w:eastAsia="方正楷体_GBK" w:cs="Times New Roman"/>
                <w:w w:val="80"/>
                <w:sz w:val="24"/>
                <w:lang w:val="en-US" w:eastAsia="zh-CN"/>
              </w:rPr>
              <w:t>加快推进凤庆县污水管网工程空白区新建污水管网项目</w:t>
            </w:r>
            <w:r>
              <w:rPr>
                <w:rFonts w:hint="eastAsia" w:ascii="Times New Roman" w:hAnsi="Times New Roman" w:eastAsia="方正楷体_GBK" w:cs="Times New Roman"/>
                <w:w w:val="80"/>
                <w:sz w:val="24"/>
                <w:lang w:val="en-US" w:eastAsia="zh-CN"/>
              </w:rPr>
              <w:t>投运凤庆县第二污水处理厂。</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90"/>
                <w:sz w:val="24"/>
                <w:lang w:val="en-US" w:eastAsia="zh-CN"/>
              </w:rPr>
              <w:t>凤庆县住房和城乡建设局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90"/>
                <w:sz w:val="24"/>
                <w:lang w:val="en-US" w:eastAsia="zh-CN"/>
              </w:rPr>
              <w:t>2023年</w:t>
            </w:r>
            <w:r>
              <w:rPr>
                <w:rFonts w:hint="eastAsia" w:eastAsia="方正楷体_GBK" w:cs="Times New Roman"/>
                <w:w w:val="90"/>
                <w:sz w:val="24"/>
                <w:lang w:val="en-US" w:eastAsia="zh-CN"/>
              </w:rPr>
              <w:t>8月</w:t>
            </w:r>
            <w:r>
              <w:rPr>
                <w:rFonts w:hint="eastAsia" w:ascii="Times New Roman" w:hAnsi="Times New Roman" w:eastAsia="方正楷体_GBK" w:cs="Times New Roman"/>
                <w:w w:val="90"/>
                <w:sz w:val="24"/>
                <w:lang w:val="en-US" w:eastAsia="zh-CN"/>
              </w:rPr>
              <w:t>底完</w:t>
            </w:r>
            <w:r>
              <w:rPr>
                <w:rFonts w:hint="eastAsia" w:eastAsia="方正楷体_GBK" w:cs="Times New Roman"/>
                <w:w w:val="90"/>
                <w:sz w:val="24"/>
                <w:lang w:val="en-US" w:eastAsia="zh-CN"/>
              </w:rPr>
              <w:t>成整改</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99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90"/>
                <w:sz w:val="24"/>
                <w:lang w:val="en-US" w:eastAsia="zh-CN"/>
              </w:rPr>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80"/>
                <w:sz w:val="24"/>
                <w:lang w:val="en-US" w:eastAsia="zh-CN"/>
              </w:rPr>
              <w:t>措施4：全面落实省住房城乡建设厅、省农业农村厅等六部门印发《关于进一步加强农村生活垃圾收运处置体系建设管理和做好乡镇镇区生活污水治理工作的通知》要求，加快推进乡（镇）生活污水治理推进。</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90"/>
                <w:sz w:val="24"/>
                <w:lang w:val="en-US" w:eastAsia="zh-CN"/>
              </w:rPr>
              <w:t>凤庆县住房和城乡建设局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80"/>
                <w:sz w:val="24"/>
                <w:lang w:val="en-US" w:eastAsia="zh-CN"/>
              </w:rPr>
              <w:t>已完成整改</w:t>
            </w:r>
            <w:r>
              <w:rPr>
                <w:rFonts w:hint="default" w:ascii="Times New Roman" w:hAnsi="Times New Roman" w:eastAsia="方正楷体_GBK" w:cs="Times New Roman"/>
                <w:w w:val="80"/>
                <w:sz w:val="24"/>
                <w:lang w:val="en-US" w:eastAsia="zh-CN"/>
              </w:rPr>
              <w:t>，并长期坚持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95"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90"/>
                <w:sz w:val="24"/>
                <w:lang w:val="en-US" w:eastAsia="zh-CN"/>
              </w:rPr>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995"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方正楷体_GBK" w:cs="Times New Roman"/>
                <w:w w:val="90"/>
                <w:sz w:val="24"/>
                <w:lang w:val="en-US" w:eastAsia="zh-CN"/>
              </w:rPr>
            </w:pPr>
            <w:r>
              <w:rPr>
                <w:rFonts w:hint="eastAsia" w:ascii="Times New Roman" w:hAnsi="Times New Roman" w:eastAsia="方正楷体_GBK" w:cs="Times New Roman"/>
                <w:w w:val="90"/>
                <w:sz w:val="24"/>
                <w:lang w:val="en-US" w:eastAsia="zh-CN"/>
              </w:rPr>
              <w:t>措施5：县住房城乡建设局对县城垃圾填埋场渗滤液存量较大、渗漏等突出环境问题、各乡（镇）对本辖区垃圾填埋场运行情况开展自查，于2023年10月前完成整治。</w:t>
            </w:r>
          </w:p>
        </w:tc>
        <w:tc>
          <w:tcPr>
            <w:tcW w:w="1440"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1920"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lang w:eastAsia="zh-CN"/>
              </w:rPr>
            </w:pPr>
            <w:r>
              <w:rPr>
                <w:rFonts w:hint="eastAsia" w:ascii="Times New Roman" w:hAnsi="Times New Roman" w:eastAsia="方正楷体_GBK" w:cs="Times New Roman"/>
                <w:w w:val="90"/>
                <w:sz w:val="24"/>
                <w:lang w:val="en-US" w:eastAsia="zh-CN"/>
              </w:rPr>
              <w:t>凤庆县住房和城乡建设局</w:t>
            </w:r>
          </w:p>
        </w:tc>
        <w:tc>
          <w:tcPr>
            <w:tcW w:w="1470" w:type="dxa"/>
            <w:gridSpan w:val="3"/>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整改时限</w:t>
            </w:r>
          </w:p>
        </w:tc>
        <w:tc>
          <w:tcPr>
            <w:tcW w:w="1215" w:type="dxa"/>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eastAsia="方正仿宋_GBK"/>
                <w:sz w:val="28"/>
                <w:szCs w:val="28"/>
              </w:rPr>
            </w:pPr>
            <w:r>
              <w:rPr>
                <w:rFonts w:hint="eastAsia" w:ascii="Times New Roman" w:hAnsi="Times New Roman" w:eastAsia="方正楷体_GBK" w:cs="Times New Roman"/>
                <w:w w:val="80"/>
                <w:sz w:val="24"/>
                <w:lang w:val="en-US" w:eastAsia="zh-CN"/>
              </w:rPr>
              <w:t>已完成整改，并长期坚持</w:t>
            </w:r>
          </w:p>
        </w:tc>
        <w:tc>
          <w:tcPr>
            <w:tcW w:w="85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完成情况</w:t>
            </w: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 xml:space="preserve">规定时限完成    </w:t>
            </w:r>
            <w:r>
              <w:rPr>
                <w:rFonts w:hint="eastAsia" w:ascii="方正仿宋_GBK" w:hAnsi="方正仿宋_GBK" w:eastAsia="方正仿宋_GBK" w:cs="方正仿宋_GBK"/>
                <w:sz w:val="28"/>
                <w:szCs w:val="28"/>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95" w:type="dxa"/>
            <w:gridSpan w:val="3"/>
            <w:vMerge w:val="continue"/>
            <w:noWrap w:val="0"/>
            <w:vAlign w:val="center"/>
          </w:tcPr>
          <w:p>
            <w:pPr>
              <w:adjustRightInd w:val="0"/>
              <w:snapToGrid w:val="0"/>
              <w:spacing w:line="560" w:lineRule="exact"/>
            </w:pPr>
          </w:p>
        </w:tc>
        <w:tc>
          <w:tcPr>
            <w:tcW w:w="1440" w:type="dxa"/>
            <w:vMerge w:val="continue"/>
            <w:noWrap w:val="0"/>
            <w:vAlign w:val="center"/>
          </w:tcPr>
          <w:p>
            <w:pPr>
              <w:adjustRightInd w:val="0"/>
              <w:snapToGrid w:val="0"/>
              <w:spacing w:line="560" w:lineRule="exact"/>
            </w:pPr>
          </w:p>
        </w:tc>
        <w:tc>
          <w:tcPr>
            <w:tcW w:w="1920" w:type="dxa"/>
            <w:gridSpan w:val="2"/>
            <w:vMerge w:val="continue"/>
            <w:noWrap w:val="0"/>
            <w:vAlign w:val="center"/>
          </w:tcPr>
          <w:p>
            <w:pPr>
              <w:adjustRightInd w:val="0"/>
              <w:snapToGrid w:val="0"/>
              <w:spacing w:line="560" w:lineRule="exact"/>
            </w:pPr>
          </w:p>
        </w:tc>
        <w:tc>
          <w:tcPr>
            <w:tcW w:w="1470" w:type="dxa"/>
            <w:gridSpan w:val="3"/>
            <w:vMerge w:val="continue"/>
            <w:noWrap w:val="0"/>
            <w:vAlign w:val="center"/>
          </w:tcPr>
          <w:p>
            <w:pPr>
              <w:adjustRightInd w:val="0"/>
              <w:snapToGrid w:val="0"/>
              <w:spacing w:line="560" w:lineRule="exact"/>
            </w:pPr>
          </w:p>
        </w:tc>
        <w:tc>
          <w:tcPr>
            <w:tcW w:w="1215" w:type="dxa"/>
            <w:gridSpan w:val="2"/>
            <w:vMerge w:val="continue"/>
            <w:noWrap w:val="0"/>
            <w:vAlign w:val="center"/>
          </w:tcPr>
          <w:p>
            <w:pPr>
              <w:adjustRightInd w:val="0"/>
              <w:snapToGrid w:val="0"/>
              <w:spacing w:line="560" w:lineRule="exact"/>
            </w:pPr>
          </w:p>
        </w:tc>
        <w:tc>
          <w:tcPr>
            <w:tcW w:w="855" w:type="dxa"/>
            <w:vMerge w:val="continue"/>
            <w:noWrap w:val="0"/>
            <w:vAlign w:val="center"/>
          </w:tcPr>
          <w:p>
            <w:pPr>
              <w:adjustRightInd w:val="0"/>
              <w:snapToGrid w:val="0"/>
              <w:spacing w:line="560" w:lineRule="exact"/>
            </w:pPr>
          </w:p>
        </w:tc>
        <w:tc>
          <w:tcPr>
            <w:tcW w:w="3060" w:type="dxa"/>
            <w:noWrap w:val="0"/>
            <w:vAlign w:val="center"/>
          </w:tcPr>
          <w:p>
            <w:pPr>
              <w:adjustRightInd w:val="0"/>
              <w:snapToGrid w:val="0"/>
              <w:spacing w:line="560" w:lineRule="exact"/>
              <w:rPr>
                <w:rFonts w:hint="eastAsia" w:ascii="Times New Roman" w:hAnsi="Times New Roman" w:eastAsia="方正仿宋_GBK" w:cs="Times New Roman"/>
                <w:kern w:val="2"/>
                <w:sz w:val="28"/>
                <w:szCs w:val="28"/>
                <w:lang w:val="en-US" w:eastAsia="zh-CN" w:bidi="ar-SA"/>
              </w:rPr>
            </w:pPr>
            <w:r>
              <w:rPr>
                <w:rFonts w:hint="eastAsia" w:eastAsia="方正仿宋_GBK"/>
                <w:sz w:val="28"/>
                <w:szCs w:val="28"/>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lang w:eastAsia="zh-CN"/>
              </w:rPr>
              <w:t>环境</w:t>
            </w:r>
            <w:r>
              <w:rPr>
                <w:rFonts w:hint="eastAsia" w:eastAsia="方正仿宋_GBK"/>
                <w:sz w:val="28"/>
                <w:szCs w:val="28"/>
              </w:rPr>
              <w:t>违法</w:t>
            </w:r>
          </w:p>
          <w:p>
            <w:pPr>
              <w:adjustRightInd w:val="0"/>
              <w:snapToGrid w:val="0"/>
              <w:spacing w:line="560" w:lineRule="exact"/>
              <w:jc w:val="center"/>
              <w:rPr>
                <w:rFonts w:hint="eastAsia" w:eastAsia="方正仿宋_GBK"/>
                <w:sz w:val="28"/>
                <w:szCs w:val="28"/>
              </w:rPr>
            </w:pPr>
            <w:r>
              <w:rPr>
                <w:rFonts w:hint="eastAsia" w:eastAsia="方正仿宋_GBK"/>
                <w:sz w:val="28"/>
                <w:szCs w:val="28"/>
              </w:rPr>
              <w:t>行为查处</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责任追究</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t>□</w:t>
            </w:r>
            <w:r>
              <w:rPr>
                <w:rFonts w:hint="eastAsia" w:eastAsia="方正仿宋_GBK"/>
                <w:sz w:val="28"/>
                <w:szCs w:val="28"/>
              </w:rPr>
              <w:t xml:space="preserve">  否</w:t>
            </w:r>
            <w:r>
              <w:rPr>
                <w:rFonts w:hint="eastAsia" w:ascii="方正仿宋_GBK" w:hAnsi="方正仿宋_GBK" w:eastAsia="方正仿宋_GBK" w:cs="方正仿宋_GBK"/>
                <w:sz w:val="28"/>
                <w:szCs w:val="28"/>
              </w:rPr>
              <w:sym w:font="Wingdings 2" w:char="0052"/>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adjustRightInd w:val="0"/>
              <w:snapToGrid w:val="0"/>
              <w:spacing w:line="560" w:lineRule="exact"/>
              <w:jc w:val="center"/>
              <w:rPr>
                <w:rFonts w:hint="eastAsia" w:eastAsia="方正仿宋_GBK"/>
                <w:sz w:val="28"/>
                <w:szCs w:val="28"/>
              </w:rPr>
            </w:pP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办理情况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tc>
        <w:tc>
          <w:tcPr>
            <w:tcW w:w="184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bookmarkStart w:id="0" w:name="_GoBack"/>
            <w:bookmarkEnd w:id="0"/>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vMerge w:val="restart"/>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信息公开</w:t>
            </w:r>
          </w:p>
          <w:p>
            <w:pPr>
              <w:adjustRightInd w:val="0"/>
              <w:snapToGrid w:val="0"/>
              <w:spacing w:line="560" w:lineRule="exact"/>
              <w:jc w:val="center"/>
              <w:rPr>
                <w:rFonts w:hint="eastAsia" w:eastAsia="方正仿宋_GBK"/>
                <w:sz w:val="28"/>
                <w:szCs w:val="28"/>
              </w:rPr>
            </w:pPr>
            <w:r>
              <w:rPr>
                <w:rFonts w:hint="eastAsia" w:eastAsia="方正仿宋_GBK"/>
                <w:sz w:val="28"/>
                <w:szCs w:val="28"/>
              </w:rPr>
              <w:t>链接</w:t>
            </w: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pPr>
          </w:p>
        </w:tc>
        <w:tc>
          <w:tcPr>
            <w:tcW w:w="1845" w:type="dxa"/>
            <w:vMerge w:val="continue"/>
            <w:noWrap w:val="0"/>
            <w:vAlign w:val="center"/>
          </w:tcPr>
          <w:p>
            <w:pPr>
              <w:adjustRightInd w:val="0"/>
              <w:snapToGrid w:val="0"/>
              <w:spacing w:line="560" w:lineRule="exact"/>
              <w:jc w:val="center"/>
            </w:pPr>
          </w:p>
        </w:tc>
        <w:tc>
          <w:tcPr>
            <w:tcW w:w="1635" w:type="dxa"/>
            <w:vMerge w:val="continue"/>
            <w:noWrap w:val="0"/>
            <w:vAlign w:val="center"/>
          </w:tcPr>
          <w:p>
            <w:pPr>
              <w:adjustRightInd w:val="0"/>
              <w:snapToGrid w:val="0"/>
              <w:spacing w:line="560" w:lineRule="exact"/>
              <w:jc w:val="center"/>
            </w:pP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eastAsia" w:eastAsia="方正仿宋_GBK"/>
                <w:sz w:val="28"/>
                <w:szCs w:val="28"/>
              </w:rPr>
            </w:pPr>
          </w:p>
        </w:tc>
        <w:tc>
          <w:tcPr>
            <w:tcW w:w="1845" w:type="dxa"/>
            <w:vMerge w:val="continue"/>
            <w:noWrap w:val="0"/>
            <w:vAlign w:val="center"/>
          </w:tcPr>
          <w:p>
            <w:pPr>
              <w:adjustRightInd w:val="0"/>
              <w:snapToGrid w:val="0"/>
              <w:spacing w:line="560" w:lineRule="exact"/>
              <w:jc w:val="center"/>
              <w:rPr>
                <w:rFonts w:hint="eastAsia" w:eastAsia="方正仿宋_GBK"/>
                <w:sz w:val="28"/>
                <w:szCs w:val="28"/>
              </w:rPr>
            </w:pPr>
          </w:p>
        </w:tc>
        <w:tc>
          <w:tcPr>
            <w:tcW w:w="1635" w:type="dxa"/>
            <w:vMerge w:val="continue"/>
            <w:noWrap w:val="0"/>
            <w:vAlign w:val="center"/>
          </w:tcPr>
          <w:p>
            <w:pPr>
              <w:adjustRightInd w:val="0"/>
              <w:snapToGrid w:val="0"/>
              <w:spacing w:line="560" w:lineRule="exact"/>
              <w:jc w:val="center"/>
              <w:rPr>
                <w:rFonts w:hint="eastAsia" w:eastAsia="方正仿宋_GBK"/>
                <w:sz w:val="28"/>
                <w:szCs w:val="28"/>
              </w:rPr>
            </w:pP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eastAsia" w:eastAsia="方正仿宋_GBK"/>
                <w:sz w:val="28"/>
                <w:szCs w:val="28"/>
              </w:rPr>
            </w:pPr>
          </w:p>
        </w:tc>
        <w:tc>
          <w:tcPr>
            <w:tcW w:w="1845" w:type="dxa"/>
            <w:vMerge w:val="continue"/>
            <w:noWrap w:val="0"/>
            <w:vAlign w:val="center"/>
          </w:tcPr>
          <w:p>
            <w:pPr>
              <w:adjustRightInd w:val="0"/>
              <w:snapToGrid w:val="0"/>
              <w:spacing w:line="560" w:lineRule="exact"/>
              <w:jc w:val="center"/>
              <w:rPr>
                <w:rFonts w:hint="eastAsia" w:eastAsia="方正仿宋_GBK"/>
                <w:sz w:val="28"/>
                <w:szCs w:val="28"/>
              </w:rPr>
            </w:pPr>
          </w:p>
        </w:tc>
        <w:tc>
          <w:tcPr>
            <w:tcW w:w="1635" w:type="dxa"/>
            <w:vMerge w:val="continue"/>
            <w:noWrap w:val="0"/>
            <w:vAlign w:val="center"/>
          </w:tcPr>
          <w:p>
            <w:pPr>
              <w:adjustRightInd w:val="0"/>
              <w:snapToGrid w:val="0"/>
              <w:spacing w:line="560" w:lineRule="exact"/>
              <w:jc w:val="center"/>
              <w:rPr>
                <w:rFonts w:hint="eastAsia" w:eastAsia="方正仿宋_GBK"/>
                <w:sz w:val="28"/>
                <w:szCs w:val="28"/>
              </w:rPr>
            </w:pPr>
          </w:p>
        </w:tc>
        <w:tc>
          <w:tcPr>
            <w:tcW w:w="9960" w:type="dxa"/>
            <w:gridSpan w:val="10"/>
            <w:noWrap w:val="0"/>
            <w:vAlign w:val="center"/>
          </w:tcPr>
          <w:p>
            <w:pPr>
              <w:adjustRightInd w:val="0"/>
              <w:snapToGrid w:val="0"/>
              <w:spacing w:line="560" w:lineRule="exact"/>
              <w:jc w:val="center"/>
              <w:rPr>
                <w:rFonts w:hint="eastAsia"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5" w:type="dxa"/>
            <w:vMerge w:val="continue"/>
            <w:noWrap w:val="0"/>
            <w:vAlign w:val="center"/>
          </w:tcPr>
          <w:p>
            <w:pPr>
              <w:adjustRightInd w:val="0"/>
              <w:snapToGrid w:val="0"/>
              <w:spacing w:line="560" w:lineRule="exact"/>
              <w:jc w:val="center"/>
              <w:rPr>
                <w:rFonts w:hint="eastAsia" w:eastAsia="方正仿宋_GBK"/>
                <w:sz w:val="28"/>
                <w:szCs w:val="28"/>
              </w:rPr>
            </w:pPr>
          </w:p>
        </w:tc>
        <w:tc>
          <w:tcPr>
            <w:tcW w:w="1845" w:type="dxa"/>
            <w:vMerge w:val="continue"/>
            <w:noWrap w:val="0"/>
            <w:vAlign w:val="center"/>
          </w:tcPr>
          <w:p>
            <w:pPr>
              <w:adjustRightInd w:val="0"/>
              <w:snapToGrid w:val="0"/>
              <w:spacing w:line="560" w:lineRule="exact"/>
              <w:jc w:val="center"/>
              <w:rPr>
                <w:rFonts w:hint="eastAsia" w:eastAsia="方正仿宋_GBK"/>
                <w:sz w:val="28"/>
                <w:szCs w:val="28"/>
              </w:rPr>
            </w:pPr>
          </w:p>
        </w:tc>
        <w:tc>
          <w:tcPr>
            <w:tcW w:w="1635" w:type="dxa"/>
            <w:vMerge w:val="continue"/>
            <w:noWrap w:val="0"/>
            <w:vAlign w:val="center"/>
          </w:tcPr>
          <w:p>
            <w:pPr>
              <w:adjustRightInd w:val="0"/>
              <w:snapToGrid w:val="0"/>
              <w:spacing w:line="560" w:lineRule="exact"/>
              <w:jc w:val="center"/>
              <w:rPr>
                <w:rFonts w:hint="eastAsia" w:eastAsia="方正仿宋_GBK"/>
                <w:sz w:val="28"/>
                <w:szCs w:val="28"/>
              </w:rPr>
            </w:pPr>
          </w:p>
        </w:tc>
        <w:tc>
          <w:tcPr>
            <w:tcW w:w="9960" w:type="dxa"/>
            <w:gridSpan w:val="10"/>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群众满意</w:t>
            </w:r>
          </w:p>
          <w:p>
            <w:pPr>
              <w:adjustRightInd w:val="0"/>
              <w:snapToGrid w:val="0"/>
              <w:spacing w:line="560" w:lineRule="exact"/>
              <w:jc w:val="center"/>
              <w:rPr>
                <w:rFonts w:hint="eastAsia" w:eastAsia="方正仿宋_GBK"/>
                <w:sz w:val="28"/>
                <w:szCs w:val="28"/>
              </w:rPr>
            </w:pPr>
            <w:r>
              <w:rPr>
                <w:rFonts w:hint="eastAsia" w:eastAsia="方正仿宋_GBK"/>
                <w:sz w:val="28"/>
                <w:szCs w:val="28"/>
              </w:rPr>
              <w:t>度调查</w:t>
            </w:r>
          </w:p>
        </w:tc>
        <w:tc>
          <w:tcPr>
            <w:tcW w:w="184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是</w:t>
            </w:r>
            <w:r>
              <w:rPr>
                <w:rFonts w:hint="eastAsia" w:ascii="方正仿宋_GBK" w:hAnsi="方正仿宋_GBK" w:eastAsia="方正仿宋_GBK" w:cs="方正仿宋_GBK"/>
                <w:sz w:val="28"/>
                <w:szCs w:val="28"/>
              </w:rPr>
              <w:sym w:font="Wingdings 2" w:char="0052"/>
            </w:r>
            <w:r>
              <w:rPr>
                <w:rFonts w:hint="eastAsia" w:eastAsia="方正仿宋_GBK"/>
                <w:sz w:val="28"/>
                <w:szCs w:val="28"/>
              </w:rPr>
              <w:t xml:space="preserve">  否</w:t>
            </w:r>
            <w:r>
              <w:rPr>
                <w:rFonts w:hint="eastAsia" w:ascii="方正仿宋_GBK" w:hAnsi="方正仿宋_GBK" w:eastAsia="方正仿宋_GBK" w:cs="方正仿宋_GBK"/>
                <w:sz w:val="28"/>
                <w:szCs w:val="28"/>
              </w:rPr>
              <w:t>□</w:t>
            </w:r>
          </w:p>
        </w:tc>
        <w:tc>
          <w:tcPr>
            <w:tcW w:w="1635" w:type="dxa"/>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责任单位</w:t>
            </w:r>
          </w:p>
        </w:tc>
        <w:tc>
          <w:tcPr>
            <w:tcW w:w="2565"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eastAsia="方正仿宋_GBK"/>
                <w:sz w:val="28"/>
                <w:szCs w:val="28"/>
                <w:lang w:eastAsia="zh-CN"/>
              </w:rPr>
            </w:pPr>
            <w:r>
              <w:rPr>
                <w:rFonts w:hint="eastAsia" w:eastAsia="方正仿宋_GBK"/>
                <w:sz w:val="28"/>
                <w:szCs w:val="28"/>
                <w:lang w:val="en-US" w:eastAsia="zh-CN"/>
              </w:rPr>
              <w:t>凤庆县住房和城乡建设局</w:t>
            </w:r>
          </w:p>
        </w:tc>
        <w:tc>
          <w:tcPr>
            <w:tcW w:w="1650" w:type="dxa"/>
            <w:gridSpan w:val="3"/>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调查情况</w:t>
            </w:r>
          </w:p>
        </w:tc>
        <w:tc>
          <w:tcPr>
            <w:tcW w:w="5745" w:type="dxa"/>
            <w:gridSpan w:val="5"/>
            <w:noWrap w:val="0"/>
            <w:vAlign w:val="center"/>
          </w:tcPr>
          <w:p>
            <w:pPr>
              <w:adjustRightInd w:val="0"/>
              <w:snapToGrid w:val="0"/>
              <w:spacing w:line="560" w:lineRule="exact"/>
              <w:jc w:val="center"/>
              <w:rPr>
                <w:rFonts w:hint="eastAsia"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3360" w:type="dxa"/>
            <w:gridSpan w:val="2"/>
            <w:noWrap w:val="0"/>
            <w:vAlign w:val="center"/>
          </w:tcPr>
          <w:p>
            <w:pPr>
              <w:adjustRightInd w:val="0"/>
              <w:snapToGrid w:val="0"/>
              <w:spacing w:line="560" w:lineRule="exact"/>
              <w:jc w:val="center"/>
              <w:rPr>
                <w:rFonts w:hint="eastAsia" w:eastAsia="方正仿宋_GBK"/>
                <w:sz w:val="28"/>
                <w:szCs w:val="28"/>
              </w:rPr>
            </w:pPr>
            <w:r>
              <w:rPr>
                <w:rFonts w:hint="eastAsia" w:eastAsia="方正仿宋_GBK"/>
                <w:sz w:val="28"/>
                <w:szCs w:val="28"/>
              </w:rPr>
              <w:t>自查自验结论及签字</w:t>
            </w:r>
          </w:p>
        </w:tc>
        <w:tc>
          <w:tcPr>
            <w:tcW w:w="11595" w:type="dxa"/>
            <w:gridSpan w:val="11"/>
            <w:noWrap w:val="0"/>
            <w:vAlign w:val="top"/>
          </w:tcPr>
          <w:p>
            <w:pPr>
              <w:adjustRightInd w:val="0"/>
              <w:snapToGrid w:val="0"/>
              <w:spacing w:line="560" w:lineRule="exact"/>
              <w:ind w:firstLine="280" w:firstLineChars="100"/>
              <w:jc w:val="both"/>
              <w:rPr>
                <w:rFonts w:hint="eastAsia" w:ascii="Times New Roman" w:hAnsi="Times New Roman" w:eastAsia="方正仿宋_GBK" w:cs="Times New Roman"/>
                <w:sz w:val="28"/>
                <w:szCs w:val="28"/>
              </w:rPr>
            </w:pPr>
            <w:r>
              <w:rPr>
                <w:rFonts w:hint="eastAsia" w:ascii="Times New Roman" w:hAnsi="Times New Roman" w:eastAsia="方正仿宋_GBK" w:cs="Times New Roman"/>
                <w:sz w:val="28"/>
                <w:szCs w:val="28"/>
              </w:rPr>
              <w:t>经材料核实和现场核实，符合验收要求，同意上报组织验收。</w:t>
            </w:r>
          </w:p>
          <w:p>
            <w:pPr>
              <w:rPr>
                <w:rFonts w:hint="eastAsia"/>
              </w:rPr>
            </w:pPr>
          </w:p>
          <w:p>
            <w:pPr>
              <w:pStyle w:val="2"/>
              <w:rPr>
                <w:rFonts w:hint="eastAsia"/>
              </w:rPr>
            </w:pPr>
          </w:p>
        </w:tc>
      </w:tr>
    </w:tbl>
    <w:p>
      <w:pPr>
        <w:keepNext w:val="0"/>
        <w:keepLines w:val="0"/>
        <w:pageBreakBefore w:val="0"/>
        <w:kinsoku/>
        <w:wordWrap/>
        <w:overflowPunct/>
        <w:autoSpaceDE/>
        <w:autoSpaceDN/>
        <w:bidi w:val="0"/>
        <w:adjustRightInd w:val="0"/>
        <w:snapToGrid w:val="0"/>
        <w:spacing w:line="56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填表说明：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ind w:leftChars="4" w:firstLine="560" w:firstLineChars="20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自查自验组织单位</w:t>
      </w:r>
      <w:r>
        <w:rPr>
          <w:rFonts w:hint="eastAsia" w:ascii="Times New Roman" w:hAnsi="Times New Roman" w:eastAsia="方正仿宋_GBK" w:cs="Times New Roman"/>
          <w:sz w:val="28"/>
          <w:szCs w:val="28"/>
          <w:lang w:eastAsia="zh-CN"/>
        </w:rPr>
        <w:t>为凤庆县人民政府</w:t>
      </w:r>
      <w:r>
        <w:rPr>
          <w:rFonts w:hint="default" w:ascii="Times New Roman" w:hAnsi="Times New Roman" w:eastAsia="方正仿宋_GBK" w:cs="Times New Roman"/>
          <w:sz w:val="28"/>
          <w:szCs w:val="28"/>
        </w:rPr>
        <w:t>，由主要领导在页眉空白处签字并加盖公章，验收日期按照完成自查自验的时间填写。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．计划整改目标按照通过审核的环境问题整改方案填写，整改目标完成情况据实填写。</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．整改措施栏目根据通过审核的环境问题整改方案据实填写，超过3项整改措施的，可按照本表格另附完整的整改措施一览表，逐条列出整改措施</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责任单位、整改时限、完成情况。不属于规定时限完成的，分“超时限完成”“未完成”两类进行说明。</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．违法行为查处责任单位根据具体违法行为确定责任单位，并不限于</w:t>
      </w:r>
      <w:r>
        <w:rPr>
          <w:rFonts w:hint="eastAsia" w:ascii="Times New Roman" w:hAnsi="Times New Roman" w:eastAsia="方正仿宋_GBK" w:cs="Times New Roman"/>
          <w:sz w:val="28"/>
          <w:szCs w:val="28"/>
          <w:lang w:eastAsia="zh-CN"/>
        </w:rPr>
        <w:t>生态</w:t>
      </w:r>
      <w:r>
        <w:rPr>
          <w:rFonts w:hint="default" w:ascii="Times New Roman" w:hAnsi="Times New Roman" w:eastAsia="方正仿宋_GBK" w:cs="Times New Roman"/>
          <w:sz w:val="28"/>
          <w:szCs w:val="28"/>
        </w:rPr>
        <w:t>环境主管部门，办理情况进行简要精炼的说明。</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5</w:t>
      </w:r>
      <w:r>
        <w:rPr>
          <w:rFonts w:hint="default" w:ascii="Times New Roman" w:hAnsi="Times New Roman" w:eastAsia="方正仿宋_GBK" w:cs="Times New Roman"/>
          <w:sz w:val="28"/>
          <w:szCs w:val="28"/>
        </w:rPr>
        <w:t>．责任追究责任单位为各级纪检监察机关，办理情况进行简要精炼的说明。</w:t>
      </w:r>
    </w:p>
    <w:p>
      <w:pPr>
        <w:keepNext w:val="0"/>
        <w:keepLines w:val="0"/>
        <w:pageBreakBefore w:val="0"/>
        <w:widowControl w:val="0"/>
        <w:kinsoku/>
        <w:wordWrap/>
        <w:overflowPunct/>
        <w:topLinePunct w:val="0"/>
        <w:autoSpaceDE/>
        <w:autoSpaceDN/>
        <w:bidi w:val="0"/>
        <w:adjustRightInd w:val="0"/>
        <w:snapToGrid w:val="0"/>
        <w:spacing w:line="32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．信息公开链接填写</w:t>
      </w:r>
      <w:r>
        <w:rPr>
          <w:rFonts w:hint="default" w:ascii="Times New Roman" w:hAnsi="Times New Roman" w:eastAsia="方正仿宋_GBK" w:cs="Times New Roman"/>
          <w:sz w:val="28"/>
          <w:szCs w:val="28"/>
          <w:lang w:eastAsia="zh-CN"/>
        </w:rPr>
        <w:t>凤庆县人民政府门户网站公示内容链接网址。</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560"/>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b w:val="0"/>
          <w:bCs w:val="0"/>
          <w:sz w:val="28"/>
          <w:szCs w:val="28"/>
          <w:u w:val="none"/>
        </w:rPr>
        <w:t>群众满意度调查的责任单位</w:t>
      </w:r>
      <w:r>
        <w:rPr>
          <w:rFonts w:hint="default" w:ascii="Times New Roman" w:hAnsi="Times New Roman" w:eastAsia="方正仿宋_GBK" w:cs="Times New Roman"/>
          <w:b w:val="0"/>
          <w:bCs w:val="0"/>
          <w:sz w:val="28"/>
          <w:szCs w:val="28"/>
          <w:u w:val="none"/>
          <w:lang w:val="en-US" w:eastAsia="zh-CN"/>
        </w:rPr>
        <w:t>为</w:t>
      </w:r>
      <w:r>
        <w:rPr>
          <w:rFonts w:hint="eastAsia" w:ascii="Times New Roman" w:hAnsi="Times New Roman" w:eastAsia="方正仿宋_GBK" w:cs="Times New Roman"/>
          <w:b w:val="0"/>
          <w:bCs w:val="0"/>
          <w:sz w:val="28"/>
          <w:szCs w:val="28"/>
          <w:u w:val="none"/>
          <w:lang w:val="en-US" w:eastAsia="zh-CN"/>
        </w:rPr>
        <w:t>牵头整改单位</w:t>
      </w:r>
      <w:r>
        <w:rPr>
          <w:rFonts w:hint="default" w:ascii="Times New Roman" w:hAnsi="Times New Roman" w:eastAsia="方正仿宋_GBK" w:cs="Times New Roman"/>
          <w:sz w:val="28"/>
          <w:szCs w:val="28"/>
        </w:rPr>
        <w:t>，</w:t>
      </w:r>
      <w:r>
        <w:rPr>
          <w:rFonts w:hint="eastAsia" w:ascii="Times New Roman" w:hAnsi="Times New Roman" w:eastAsia="方正仿宋_GBK" w:cs="Times New Roman"/>
          <w:sz w:val="28"/>
          <w:szCs w:val="28"/>
          <w:lang w:eastAsia="zh-CN"/>
        </w:rPr>
        <w:t>调查测评范围根据整改问题影响范围确定，</w:t>
      </w:r>
      <w:r>
        <w:rPr>
          <w:rFonts w:hint="default" w:ascii="Times New Roman" w:hAnsi="Times New Roman" w:eastAsia="方正仿宋_GBK" w:cs="Times New Roman"/>
          <w:sz w:val="28"/>
          <w:szCs w:val="28"/>
        </w:rPr>
        <w:t>调查情况进行简要精炼的说明，但应明确受影响群众对环境问题整改结果是否满意。受影响群众的选择要有代表性。</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．验收结论及签字栏目中，验收结论与栏目中规范化表述不同的</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可据实填写。参加验收的人员</w:t>
      </w:r>
      <w:r>
        <w:rPr>
          <w:rFonts w:hint="eastAsia" w:eastAsia="方正仿宋_GBK" w:cs="Times New Roman"/>
          <w:sz w:val="28"/>
          <w:szCs w:val="28"/>
          <w:lang w:eastAsia="zh-CN"/>
        </w:rPr>
        <w:t>需包括配合整改单位和相关乡镇分管领导、责任人员，需</w:t>
      </w:r>
      <w:r>
        <w:rPr>
          <w:rFonts w:hint="default" w:ascii="Times New Roman" w:hAnsi="Times New Roman" w:eastAsia="方正仿宋_GBK" w:cs="Times New Roman"/>
          <w:sz w:val="28"/>
          <w:szCs w:val="28"/>
        </w:rPr>
        <w:t>全员</w:t>
      </w:r>
      <w:r>
        <w:rPr>
          <w:rFonts w:hint="eastAsia" w:eastAsia="方正仿宋_GBK" w:cs="Times New Roman"/>
          <w:sz w:val="28"/>
          <w:szCs w:val="28"/>
          <w:lang w:eastAsia="zh-CN"/>
        </w:rPr>
        <w:t>手写</w:t>
      </w:r>
      <w:r>
        <w:rPr>
          <w:rFonts w:hint="default" w:ascii="Times New Roman" w:hAnsi="Times New Roman" w:eastAsia="方正仿宋_GBK" w:cs="Times New Roman"/>
          <w:sz w:val="28"/>
          <w:szCs w:val="28"/>
        </w:rPr>
        <w:t>签字确认，并另附参加验收人员一览表写明验收人员姓名、单位和职务等信息</w:t>
      </w:r>
      <w:r>
        <w:rPr>
          <w:rFonts w:hint="eastAsia" w:ascii="Times New Roman" w:hAnsi="Times New Roman" w:eastAsia="方正仿宋_GBK" w:cs="Times New Roman"/>
          <w:sz w:val="28"/>
          <w:szCs w:val="28"/>
          <w:lang w:eastAsia="zh-CN"/>
        </w:rPr>
        <w:t>（附后）</w:t>
      </w:r>
      <w:r>
        <w:rPr>
          <w:rFonts w:hint="default" w:ascii="Times New Roman" w:hAnsi="Times New Roman" w:eastAsia="方正仿宋_GBK" w:cs="Times New Roman"/>
          <w:sz w:val="28"/>
          <w:szCs w:val="28"/>
        </w:rPr>
        <w:t>。</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9</w:t>
      </w:r>
      <w:r>
        <w:rPr>
          <w:rFonts w:hint="default" w:ascii="Times New Roman" w:hAnsi="Times New Roman" w:eastAsia="方正仿宋_GBK" w:cs="Times New Roman"/>
          <w:sz w:val="28"/>
          <w:szCs w:val="28"/>
        </w:rPr>
        <w:t>．填写是或否的内容，在“是”或“否”后打“√</w:t>
      </w:r>
      <w:r>
        <w:rPr>
          <w:rFonts w:hint="eastAsia" w:ascii="Times New Roman" w:hAnsi="Times New Roman" w:eastAsia="方正仿宋_GBK" w:cs="Times New Roman"/>
          <w:sz w:val="28"/>
          <w:szCs w:val="28"/>
          <w:lang w:eastAsia="zh-CN"/>
        </w:rPr>
        <w:t>”</w:t>
      </w:r>
    </w:p>
    <w:sectPr>
      <w:footerReference r:id="rId3" w:type="default"/>
      <w:pgSz w:w="16838" w:h="11906" w:orient="landscape"/>
      <w:pgMar w:top="1672" w:right="1984" w:bottom="1502"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M2YxMzc3NTQ4YTVlNDhjY2QyMzg0YjUzZGIwYTYifQ=="/>
  </w:docVars>
  <w:rsids>
    <w:rsidRoot w:val="7A862C48"/>
    <w:rsid w:val="00C30909"/>
    <w:rsid w:val="09C778BB"/>
    <w:rsid w:val="0D343170"/>
    <w:rsid w:val="16890F57"/>
    <w:rsid w:val="18574301"/>
    <w:rsid w:val="21EF52EF"/>
    <w:rsid w:val="2231191E"/>
    <w:rsid w:val="23932373"/>
    <w:rsid w:val="270C275B"/>
    <w:rsid w:val="27FD0312"/>
    <w:rsid w:val="2C1A1B4B"/>
    <w:rsid w:val="2F5025C2"/>
    <w:rsid w:val="32205AF5"/>
    <w:rsid w:val="3804432F"/>
    <w:rsid w:val="38F848ED"/>
    <w:rsid w:val="3B7A102A"/>
    <w:rsid w:val="3C655264"/>
    <w:rsid w:val="40957D13"/>
    <w:rsid w:val="40DC2D46"/>
    <w:rsid w:val="41601281"/>
    <w:rsid w:val="4594599D"/>
    <w:rsid w:val="48914416"/>
    <w:rsid w:val="4A201EF6"/>
    <w:rsid w:val="4E1A4EAE"/>
    <w:rsid w:val="555F1470"/>
    <w:rsid w:val="59331091"/>
    <w:rsid w:val="5D573A29"/>
    <w:rsid w:val="600957DA"/>
    <w:rsid w:val="63D3519C"/>
    <w:rsid w:val="654E7F43"/>
    <w:rsid w:val="66CA55E8"/>
    <w:rsid w:val="698E79D9"/>
    <w:rsid w:val="6A7C3215"/>
    <w:rsid w:val="6B6537B4"/>
    <w:rsid w:val="72704F19"/>
    <w:rsid w:val="729D3834"/>
    <w:rsid w:val="77323F3A"/>
    <w:rsid w:val="7A862C48"/>
    <w:rsid w:val="7EB90B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Lines/>
      <w:spacing w:line="360" w:lineRule="auto"/>
      <w:outlineLvl w:val="3"/>
    </w:pPr>
    <w:rPr>
      <w:rFonts w:ascii="Times New Roman" w:hAnsi="Times New Roman" w:eastAsia="仿宋_GB2312" w:cs="Times New Roma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line="360" w:lineRule="auto"/>
      <w:ind w:left="420" w:leftChars="200" w:firstLine="420" w:firstLineChars="200"/>
    </w:pPr>
    <w:rPr>
      <w:rFonts w:ascii="Times New Roman" w:hAnsi="Times New Roman"/>
      <w:sz w:val="24"/>
    </w:rPr>
  </w:style>
  <w:style w:type="paragraph" w:styleId="4">
    <w:name w:val="toa heading"/>
    <w:basedOn w:val="1"/>
    <w:next w:val="1"/>
    <w:qFormat/>
    <w:uiPriority w:val="0"/>
    <w:pPr>
      <w:spacing w:before="120"/>
    </w:pPr>
    <w:rPr>
      <w:rFonts w:ascii="Cambria" w:hAnsi="Cambria" w:eastAsia="宋体" w:cs="Times New Roman"/>
      <w:sz w:val="24"/>
    </w:rPr>
  </w:style>
  <w:style w:type="paragraph" w:styleId="5">
    <w:name w:val="Body Text"/>
    <w:basedOn w:val="1"/>
    <w:next w:val="6"/>
    <w:unhideWhenUsed/>
    <w:qFormat/>
    <w:uiPriority w:val="99"/>
    <w:pPr>
      <w:spacing w:after="120"/>
    </w:pPr>
  </w:style>
  <w:style w:type="paragraph" w:styleId="6">
    <w:name w:val="Body Text Indent"/>
    <w:basedOn w:val="1"/>
    <w:qFormat/>
    <w:uiPriority w:val="0"/>
    <w:pPr>
      <w:spacing w:line="560" w:lineRule="exact"/>
      <w:ind w:firstLine="200" w:firstLineChars="200"/>
    </w:pPr>
    <w:rPr>
      <w:rFonts w:ascii="宋体" w:hAnsi="Times New Roman" w:eastAsia="宋体" w:cs="Times New Roman"/>
      <w:sz w:val="28"/>
      <w:szCs w:val="28"/>
    </w:rPr>
  </w:style>
  <w:style w:type="paragraph" w:styleId="7">
    <w:name w:val="footer"/>
    <w:basedOn w:val="1"/>
    <w:next w:val="1"/>
    <w:unhideWhenUsed/>
    <w:qFormat/>
    <w:uiPriority w:val="99"/>
    <w:pPr>
      <w:tabs>
        <w:tab w:val="center" w:pos="4153"/>
        <w:tab w:val="right" w:pos="8306"/>
      </w:tabs>
      <w:snapToGrid w:val="0"/>
      <w:jc w:val="left"/>
    </w:pPr>
    <w:rPr>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First Indent1"/>
    <w:basedOn w:val="5"/>
    <w:qFormat/>
    <w:uiPriority w:val="0"/>
    <w:pPr>
      <w:adjustRightInd w:val="0"/>
      <w:spacing w:line="275" w:lineRule="atLeast"/>
      <w:ind w:firstLine="420"/>
      <w:textAlignment w:val="baseline"/>
    </w:pPr>
    <w:rPr>
      <w:rFonts w:ascii="Times New Roman" w:hAnsi="Times New Roman" w:eastAsia="宋体" w:cs="Times New Roman"/>
    </w:rPr>
  </w:style>
  <w:style w:type="character" w:customStyle="1" w:styleId="12">
    <w:name w:val="font21"/>
    <w:basedOn w:val="10"/>
    <w:qFormat/>
    <w:uiPriority w:val="0"/>
    <w:rPr>
      <w:rFonts w:hint="eastAsia" w:ascii="方正仿宋_GBK" w:hAnsi="方正仿宋_GBK" w:eastAsia="方正仿宋_GBK" w:cs="方正仿宋_GBK"/>
      <w:color w:val="000000"/>
      <w:sz w:val="36"/>
      <w:szCs w:val="36"/>
      <w:u w:val="none"/>
    </w:rPr>
  </w:style>
  <w:style w:type="character" w:customStyle="1" w:styleId="13">
    <w:name w:val="font11"/>
    <w:basedOn w:val="10"/>
    <w:qFormat/>
    <w:uiPriority w:val="0"/>
    <w:rPr>
      <w:rFonts w:ascii="Arial" w:hAnsi="Arial" w:cs="Arial"/>
      <w:color w:val="000000"/>
      <w:sz w:val="36"/>
      <w:szCs w:val="36"/>
      <w:u w:val="none"/>
    </w:rPr>
  </w:style>
  <w:style w:type="character" w:customStyle="1" w:styleId="14">
    <w:name w:val="font01"/>
    <w:basedOn w:val="10"/>
    <w:qFormat/>
    <w:uiPriority w:val="0"/>
    <w:rPr>
      <w:rFonts w:hint="eastAsia" w:ascii="宋体" w:hAnsi="宋体" w:eastAsia="宋体" w:cs="宋体"/>
      <w:color w:val="000000"/>
      <w:sz w:val="36"/>
      <w:szCs w:val="36"/>
      <w:u w:val="non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临沧市凤庆县党政机关单位</Company>
  <Pages>17</Pages>
  <Words>7273</Words>
  <Characters>7492</Characters>
  <Lines>0</Lines>
  <Paragraphs>0</Paragraphs>
  <TotalTime>0</TotalTime>
  <ScaleCrop>false</ScaleCrop>
  <LinksUpToDate>false</LinksUpToDate>
  <CharactersWithSpaces>7758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2022-09-30T03:35:00Z</dcterms:created>
  <dc:creator>Gabriel</dc:creator>
  <cp:lastModifiedBy>ᝰ丶Role</cp:lastModifiedBy>
  <cp:lastPrinted>2023-11-06T08:22:00Z</cp:lastPrinted>
  <dcterms:modified xsi:type="dcterms:W3CDTF">2023-11-10T09:26:40Z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6397DECEE8B147C5AC188F3B520A6F0A_13</vt:lpwstr>
  </property>
</Properties>
</file>