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凤庆县202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" w:cs="Times New Roman"/>
          <w:sz w:val="32"/>
          <w:szCs w:val="32"/>
        </w:rPr>
        <w:t>季度存量住宅用地位置影像图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0500" cy="3726815"/>
            <wp:effectExtent l="0" t="0" r="6350" b="6985"/>
            <wp:docPr id="1" name="图片 1" descr="凤庆县 2023 年第一季度存量住宅用地位置影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凤庆县 2023 年第一季度存量住宅用地位置影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0500" cy="3726815"/>
            <wp:effectExtent l="0" t="0" r="6350" b="6985"/>
            <wp:docPr id="4" name="图片 4" descr="e8b77589c3e20325731ad91d938f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b77589c3e20325731ad91d938f6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0500" cy="3726815"/>
            <wp:effectExtent l="0" t="0" r="6350" b="6985"/>
            <wp:docPr id="2" name="图片 2" descr="67ef49e3a6368fe81d28b9e1a48c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ef49e3a6368fe81d28b9e1a48ce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0500" cy="3726815"/>
            <wp:effectExtent l="0" t="0" r="6350" b="6985"/>
            <wp:docPr id="3" name="图片 3" descr="70998fb7fb3a00aa0d1bac5df30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998fb7fb3a00aa0d1bac5df3051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5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2023-04-06T09:14:41Z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